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87R16507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3377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3377:</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C.S.H.B.</w:t>
      </w:r>
      <w:r xml:space="preserve">
        <w:t> </w:t>
      </w:r>
      <w:r>
        <w:t xml:space="preserve">No.</w:t>
      </w:r>
      <w:r xml:space="preserve">
        <w:t> </w:t>
      </w:r>
      <w:r>
        <w:t xml:space="preserve">3377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w:t>
      </w:r>
      <w:r>
        <w:rPr>
          <w:u w:val="single"/>
        </w:rPr>
        <w:t xml:space="preserve">another person</w:t>
      </w:r>
      <w:r>
        <w:t xml:space="preserve"> </w:t>
      </w:r>
      <w:r>
        <w:t xml:space="preserve">[</w:t>
      </w:r>
      <w:r>
        <w:rPr>
          <w:strike/>
        </w:rPr>
        <w:t xml:space="preserve">an individual 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38.001, Civil Practice and Remedies Code, as amended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