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87R10616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Leman</w:t>
      </w:r>
      <w:r xml:space="preserve">
        <w:tab wTab="150" tlc="none" cTlc="0"/>
      </w:r>
      <w:r>
        <w:t xml:space="preserve">H.B.</w:t>
      </w:r>
      <w:r xml:space="preserve">
        <w:t> </w:t>
      </w:r>
      <w:r>
        <w:t xml:space="preserve">No.</w:t>
      </w:r>
      <w:r xml:space="preserve">
        <w:t> </w:t>
      </w:r>
      <w:r>
        <w:t xml:space="preserve">3379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to report child abuse and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261.101(a), Family Code, is amended to read as follows:</w:t>
      </w:r>
    </w:p>
    <w:p w:rsidR="003F3435" w:rsidRDefault="0032493E">
      <w:pPr>
        <w:spacing w:line="480" w:lineRule="auto"/>
        <w:ind w:firstLine="720"/>
        <w:jc w:val="both"/>
      </w:pPr>
      <w:r>
        <w:t xml:space="preserve">(a)</w:t>
      </w:r>
      <w:r xml:space="preserve">
        <w:t> </w:t>
      </w:r>
      <w:r xml:space="preserve">
        <w:t> </w:t>
      </w:r>
      <w:r>
        <w:t xml:space="preserve">A person </w:t>
      </w:r>
      <w:r>
        <w:rPr>
          <w:u w:val="single"/>
        </w:rPr>
        <w:t xml:space="preserve">who has credible information that causes the person</w:t>
      </w:r>
      <w:r>
        <w:t xml:space="preserve"> [</w:t>
      </w:r>
      <w:r>
        <w:rPr>
          <w:strike/>
        </w:rPr>
        <w:t xml:space="preserve">having cause</w:t>
      </w:r>
      <w:r>
        <w:t xml:space="preserve">] to believe that a child's physical or mental health or welfare has been adversely affected by abuse or neglect by any person shall immediately make a report as provided by this subchapter. </w:t>
      </w:r>
      <w:r>
        <w:t xml:space="preserve"> </w:t>
      </w:r>
      <w:r>
        <w:rPr>
          <w:u w:val="single"/>
        </w:rPr>
        <w:t xml:space="preserve">For purposes of this subsection, "credible information"</w:t>
      </w:r>
      <w:r>
        <w:rPr>
          <w:u w:val="single"/>
        </w:rPr>
        <w:t xml:space="preserve"> </w:t>
      </w:r>
      <w:r>
        <w:rPr>
          <w:u w:val="single"/>
        </w:rPr>
        <w:t xml:space="preserve">means information supported by corroborating circumstances that clearly indicate the information's trustworthiness.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report of suspected abuse or neglect of a child that is made on or after the effective date of this Act.  A report of suspected abuse or neglect that is made before that date is governed by the law in effect on the date the report was made,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