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87R8743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franchise tax credit for certain research and development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171.651, Tax Code, is amended by adding Subdivision (1-a) and amending Subdivision (4)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"Production costs" include the cost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materials;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labor;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pilot models;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products manufactured or produced.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"Qualified research expense" has the meaning assigned by Section 41, Internal Revenue Code, except that the expense must be for research conducted in this state. </w:t>
      </w:r>
      <w:r>
        <w:t xml:space="preserve"> </w:t>
      </w:r>
      <w:r>
        <w:rPr>
          <w:u w:val="single"/>
        </w:rPr>
        <w:t xml:space="preserve">The term includes an expense described by Section 171.6515.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M, Chapter 171, Tax Code, is amended by adding Section 171.6515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171.6515.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QUALIFIED RESEARCH EXPENSES RELATING TO RESEARCH INVOLVING PRODUCTION PROCESS.  A taxable entity that conducts qualified research for which the business component is a production process may treat as a qualified research expense production costs incurred while conducting that research, regardless of whether the costs: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 taxable item exempted from sales and use taxes under Section 151.318;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would have been incurred in the process if the qualified research were not conducted.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