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87R10491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Rogers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notification of a landowner by a notification center of a planned excavation.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251.153(c), Utilities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two hours after the time the notification center receives a notice of intent to excavate from an excavator or from a different notification center, the notification center shall notify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each member operator that may have an underground facility in the vicinity of the proposed excavation operation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owner of land in the proposed area of excavation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