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87R11015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813.201, each payroll period, each department or agency of the state shall cause to be deducted from each member's compensation a contribution of:</w:t>
      </w:r>
    </w:p>
    <w:p w:rsidR="003F3435" w:rsidRDefault="0032493E">
      <w:pPr>
        <w:spacing w:line="480" w:lineRule="auto"/>
        <w:ind w:firstLine="1440"/>
        <w:jc w:val="both"/>
      </w:pPr>
      <w:r>
        <w:t xml:space="preserve">(1)</w:t>
      </w:r>
      <w:r xml:space="preserve">
        <w:t> </w:t>
      </w:r>
      <w:r xml:space="preserve">
        <w:t> </w:t>
      </w:r>
      <w:r>
        <w:t xml:space="preserve">9.5 percent of the compensation if the member is not a member of the legislature, for service rendered after August 31, 2015, and before September 1, 2017;</w:t>
      </w:r>
    </w:p>
    <w:p w:rsidR="003F3435" w:rsidRDefault="0032493E">
      <w:pPr>
        <w:spacing w:line="480" w:lineRule="auto"/>
        <w:ind w:firstLine="1440"/>
        <w:jc w:val="both"/>
      </w:pPr>
      <w:r>
        <w:t xml:space="preserve">(2)</w:t>
      </w:r>
      <w:r xml:space="preserve">
        <w:t> </w:t>
      </w:r>
      <w:r xml:space="preserve">
        <w:t> </w:t>
      </w:r>
      <w:r>
        <w:t xml:space="preserve">for service by a member who is not a member of the legislature rendered on or after September 1, 2017</w:t>
      </w:r>
      <w:r>
        <w:rPr>
          <w:u w:val="single"/>
        </w:rPr>
        <w:t xml:space="preserve">, and before September 1, 2021</w:t>
      </w:r>
      <w:r>
        <w:t xml:space="preserve">, the lesser of:</w:t>
      </w:r>
    </w:p>
    <w:p w:rsidR="003F3435" w:rsidRDefault="0032493E">
      <w:pPr>
        <w:spacing w:line="480" w:lineRule="auto"/>
        <w:ind w:firstLine="2160"/>
        <w:jc w:val="both"/>
      </w:pPr>
      <w:r>
        <w:t xml:space="preserve">(A)</w:t>
      </w:r>
      <w:r xml:space="preserve">
        <w:t> </w:t>
      </w:r>
      <w:r xml:space="preserve">
        <w:t> </w:t>
      </w:r>
      <w:r>
        <w:t xml:space="preserve">9.5 percent of the [</w:t>
      </w:r>
      <w:r>
        <w:rPr>
          <w:strike/>
        </w:rPr>
        <w:t xml:space="preserve">member's annual</w:t>
      </w:r>
      <w:r>
        <w:t xml:space="preserve">] compensation; or</w:t>
      </w:r>
    </w:p>
    <w:p w:rsidR="003F3435" w:rsidRDefault="0032493E">
      <w:pPr>
        <w:spacing w:line="480" w:lineRule="auto"/>
        <w:ind w:firstLine="2160"/>
        <w:jc w:val="both"/>
      </w:pPr>
      <w:r>
        <w:t xml:space="preserve">(B)</w:t>
      </w:r>
      <w:r xml:space="preserve">
        <w:t> </w:t>
      </w:r>
      <w:r xml:space="preserve">
        <w:t> </w:t>
      </w:r>
      <w:r>
        <w:t xml:space="preserve">a percentage of the [</w:t>
      </w:r>
      <w:r>
        <w:rPr>
          <w:strike/>
        </w:rPr>
        <w:t xml:space="preserve">member's annual</w:t>
      </w:r>
      <w:r>
        <w:t xml:space="preserve">] compensation equal to 9.5 percent reduced by one-tenth of one percent for each one-tenth of one percent that the state contribution rate for the fiscal year to which the service relates is less than the state contribution rate established for the 2017 fiscal year;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9.5 percent of the compensation if the member is a member of the legislature</w:t>
      </w:r>
      <w:r>
        <w:rPr>
          <w:u w:val="single"/>
        </w:rPr>
        <w:t xml:space="preserve">, for service rendered before September 1, 2021;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service rendered by any member on or after September 1, 2021, an amount equal to the member contribution rate adopted by the board of trustees under Section 815.4036 for the applicable fiscal year multiplied by the member's compensation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rPr>
          <w:u w:val="single"/>
        </w:rPr>
        <w:t xml:space="preserve">for the fiscal year beginning September 1, 2021, and subsequent fiscal years,</w:t>
      </w:r>
      <w:r>
        <w:t xml:space="preserve"> </w:t>
      </w:r>
      <w:r>
        <w:t xml:space="preserve">an amount equal to </w:t>
      </w:r>
      <w:r>
        <w:rPr>
          <w:u w:val="single"/>
        </w:rPr>
        <w:t xml:space="preserve">the state contribution rate adopted by the board of trustees under Section 815.4036 for the applicable fiscal year multiplied by</w:t>
      </w:r>
      <w:r>
        <w:t xml:space="preserve"> [</w:t>
      </w:r>
      <w:r>
        <w:rPr>
          <w:strike/>
        </w:rPr>
        <w:t xml:space="preserve">7.4 percent of</w:t>
      </w:r>
      <w:r>
        <w:t xml:space="preserve">]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 and custodial officer supplemental retirement fund equal to 2.13 percent of the aggregate state compensation of all custodial and law enforcement officers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 and custodial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815, Government Code, is amended by adding Section 815.4036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815.4036.</w:t>
      </w:r>
      <w:r>
        <w:rPr>
          <w:u w:val="single"/>
        </w:rPr>
        <w:t xml:space="preserve"> </w:t>
      </w:r>
      <w:r>
        <w:rPr>
          <w:u w:val="single"/>
        </w:rPr>
        <w:t xml:space="preserve"> </w:t>
      </w:r>
      <w:r>
        <w:rPr>
          <w:u w:val="single"/>
        </w:rPr>
        <w:t xml:space="preserve">ACTUARIALLY DETERMINED STATE AND MEMBER CONTRIBUTION RATES.  (a) </w:t>
      </w:r>
      <w:r>
        <w:rPr>
          <w:u w:val="single"/>
        </w:rPr>
        <w:t xml:space="preserve"> </w:t>
      </w:r>
      <w:r>
        <w:rPr>
          <w:u w:val="single"/>
        </w:rPr>
        <w:t xml:space="preserve">For the fiscal year beginning September 1, 2021, and for each subsequent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actuary designated under Section 815.206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calculate an actuarially determined contribution rate for the applicable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to the board of trustees for review and adoption the member contribution rate under Section 815.402(a)(4) and the state contribution rate under Section 815.403(a)(1) calculated by apportioning the actuarially determined contribution rate under Paragraph (A) among members, the state, and, subject to Section 815.4035(a), employers in a manner that results in the member contribution rate not exceeding 50 percent of the actuarially determined contribution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adopt the contribution rates recommended by the actuary under Subdivision (1)(B) as the member contribution rate under Section 815.402(a)(4) and the state contribution rate under Section 815.403(a)(1).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an actuarially determined contribution rate is a percentage rate that reflects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normal cost of projected  benefits for the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total payment toward the unfunded actuarial accrued liabilities of the retirement system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attributable to the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sufficient to amortize the unfunded actuarial accrued liabilities of the system in a period that does not exceed 30 years by one or more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actuarially determined contribution rate recommended by the actuary under Subsection (a)(1)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actuarial assumptions and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tables adopted by the board under Section 815.105;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funding policy adopted by the board under Section 802.2011.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