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3404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franchise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January 1, 2022, Chapter 171, Tax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Section 1 of this Act does not affect tax liability accruing before the effective date of that section.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