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3404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the franchise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Effective January 1, 2022, Chapter 171, Tax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Section 1 of this Act does not affect tax liability accruing before the effective date of that section.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Except as otherwise provided by this Act,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