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87R16679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3416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3416:</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3416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indemnity agreements between contractors and subcontractors for services pertaining to certain wells or mines.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127, Civil Practice and Remedies Code, is amended by adding Section 127.0045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127.0045.</w:t>
      </w:r>
      <w:r>
        <w:rPr>
          <w:u w:val="single"/>
        </w:rPr>
        <w:t xml:space="preserve"> </w:t>
      </w:r>
      <w:r>
        <w:rPr>
          <w:u w:val="single"/>
        </w:rPr>
        <w:t xml:space="preserve"> </w:t>
      </w:r>
      <w:r>
        <w:rPr>
          <w:u w:val="single"/>
        </w:rPr>
        <w:t xml:space="preserve">TRIPARTY RELATIONSHIP AGREEMENT.  (a) In this section, "triparty relationship agreement"</w:t>
      </w:r>
      <w:r>
        <w:rPr>
          <w:u w:val="single"/>
        </w:rPr>
        <w:t xml:space="preserve"> </w:t>
      </w:r>
      <w:r>
        <w:rPr>
          <w:u w:val="single"/>
        </w:rPr>
        <w:t xml:space="preserve">means any agreement pertaining to a well for oil, gas, or water or to a mine for a mineral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 subcontractor may or will provide any part of a contractor's services required under a separate agreement with a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mutual or unilateral indemnity obligation between the contractor and third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entering into or renewing a triparty relationship agreement with a subcontractor or third party, a contractor shall provide written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subcontractor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describes the subcontractor's indemnification obligations to the contractor and to the third party with respect to the services the subcontractor will provide under any related agreement between the contractor and subcontractor;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as a separate document from the agreements with the subcontractor and third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written in plain English and in a manner that is clear, concise, and designed to enable the subcontractor to understand the subcontractor's contractual indemnity obligations in connection with any services performed by the subcontractor pursuant to the triparty relationship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party that states: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subcontractor possesses liability insurance coverage or qualified self-insurance in accordance with Section 127.005 for the subcontractor's indemnity obligations in connection with any services performed by the subcontractor pursuant to the triparty relationship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dollar limits of the subcontractor's insurance policy or qualified self-insurance, if any.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may satisfy the requirement to provide a third party written notice under Subsection (b)(2) by providing the third party a certificate of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