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87R19889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3418:</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purchasing preference for recycled, remanufactured, or environmentally sensitive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2155.445,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comptroller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comptroller;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any information regarding the recycled, remanufactured, or environmentally sensitive nature of a product that is used as the basis for receiving a preference be certified as accurate by an entity approved by the comptroller</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shall provide notice of the preference under this section in all solicitation documents for purchases by the agency of goods for which the preference may be given, including the method the agency will use to evaluate, apply, and award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