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87R10793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3418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 purchasing preference for recycled, remanufactured, or environmentally sensitive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2155.445, Government Code, is amended by amending Subsection (b) and adding Subsection (e) to read as follows:</w:t>
      </w:r>
    </w:p>
    <w:p w:rsidR="003F3435" w:rsidRDefault="0032493E">
      <w:pPr>
        <w:spacing w:line="480" w:lineRule="auto"/>
        <w:ind w:firstLine="720"/>
        <w:jc w:val="both"/>
      </w:pPr>
      <w:r>
        <w:t xml:space="preserve">(b)</w:t>
      </w:r>
      <w:r xml:space="preserve">
        <w:t> </w:t>
      </w:r>
      <w:r xml:space="preserve">
        <w:t> </w:t>
      </w:r>
      <w:r>
        <w:t xml:space="preserve">The comptroller regularly shall review and revise its procurement procedures and specifications for the purchase of goods to:</w:t>
      </w:r>
    </w:p>
    <w:p w:rsidR="003F3435" w:rsidRDefault="0032493E">
      <w:pPr>
        <w:spacing w:line="480" w:lineRule="auto"/>
        <w:ind w:firstLine="1440"/>
        <w:jc w:val="both"/>
      </w:pPr>
      <w:r>
        <w:t xml:space="preserve">(1)</w:t>
      </w:r>
      <w:r xml:space="preserve">
        <w:t> </w:t>
      </w:r>
      <w:r xml:space="preserve">
        <w:t> </w:t>
      </w:r>
      <w:r>
        <w:t xml:space="preserve">eliminate procedures and specifications that explicitly discriminate against recycled, remanufactured, or environmentally sensitive products, as those terms are defined by rule of the comptroller;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encourage the use of recycled, remanufactured, or environmentally sensitive products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any information regarding the recycled, remanufactured, or environmentally sensitive nature of a product that is used as the basis for receiving a preference be certified as accurate by an entity approved by the comptroller</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shall provide notice of the preference under this section in all solicitation documents for purchases of goods by the agency, including the method the agency will use to evaluate, apply, and award the preference.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