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87R5208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3419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participation and reimbursement of certain children's hospitals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(rr) to read as follows:</w:t>
      </w:r>
    </w:p>
    <w:p w:rsidR="003F3435" w:rsidRDefault="0032493E">
      <w:pPr>
        <w:spacing w:line="480" w:lineRule="auto"/>
        <w:ind w:firstLine="720"/>
        <w:jc w:val="both"/>
      </w:pPr>
      <w:r>
        <w:rPr>
          <w:u w:val="single"/>
        </w:rPr>
        <w:t xml:space="preserve">(rr)</w:t>
      </w:r>
      <w:r>
        <w:rPr>
          <w:u w:val="single"/>
        </w:rPr>
        <w:t xml:space="preserve"> </w:t>
      </w:r>
      <w:r>
        <w:rPr>
          <w:u w:val="single"/>
        </w:rPr>
        <w:t xml:space="preserve"> </w:t>
      </w:r>
      <w:r>
        <w:rPr>
          <w:u w:val="single"/>
        </w:rPr>
        <w:t xml:space="preserve">A children's hospital that meets Medicare participation requirements may enroll as a provider and receive reimbursement under the medical assistance program regardless of whether the hospital participates in the Medicare program.  The executive commissioner shall adopt rules necessary to implement this subsection, including rules governing the application and enrollment process for a children's hospital seeking to participate in the medical assistance program as a Medicaid-only hospital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