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87R6441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3423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coverage for supplemental ultrasound imaging to screen for breast cancer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1356, Insurance Code, is amended to read as follows:</w:t>
      </w:r>
    </w:p>
    <w:p w:rsidR="003F3435" w:rsidRDefault="0032493E">
      <w:pPr>
        <w:spacing w:line="480" w:lineRule="auto"/>
        <w:jc w:val="center"/>
      </w:pPr>
      <w:r>
        <w:t xml:space="preserve">CHAPTER 1356. MAMMOGRAPHY </w:t>
      </w:r>
      <w:r>
        <w:rPr>
          <w:u w:val="single"/>
        </w:rPr>
        <w:t xml:space="preserve">AND OTHER BREAST IMAGING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1356, Insurance Code, is amended by adding Section 1356.006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1356.006.</w:t>
      </w:r>
      <w:r>
        <w:rPr>
          <w:u w:val="single"/>
        </w:rPr>
        <w:t xml:space="preserve"> </w:t>
      </w:r>
      <w:r>
        <w:rPr>
          <w:u w:val="single"/>
        </w:rPr>
        <w:t xml:space="preserve"> </w:t>
      </w:r>
      <w:r>
        <w:rPr>
          <w:u w:val="single"/>
        </w:rPr>
        <w:t xml:space="preserve">SUPPLEMENTAL COVERAGE REQUIRED.  (a) An issuer of a health benefit plan that provides coverage under Section 1356.005 must provide coverage for supplemental two- or three-dimensional breast ultrasound imaging as part of an annual screening covered under the plan if a licensed health care professional treating the enrollee or screening the enrollee for breast cancer finds that the enrollee has dense breast tissue, as defined by the Breast Imaging Reporting and Database System (Fifth Edition) established by the American College of Radiology.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Coverage required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be less favorable than coverage for other radiological examinations under the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subject to the same dollar limits, deductibles, and coinsurance factors as coverage for other radiological examinations under the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a health benefit plan that is delivered, issued for delivery, or renewed on or after January 1, 2022.  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