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87R18375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3426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3426:</w:t>
      </w: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C.S.H.B.</w:t>
      </w:r>
      <w:r xml:space="preserve">
        <w:t> </w:t>
      </w:r>
      <w:r>
        <w:t xml:space="preserve">No.</w:t>
      </w:r>
      <w:r xml:space="preserve">
        <w:t> </w:t>
      </w:r>
      <w:r>
        <w:t xml:space="preserve">3426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information received or maintained by the Veterans'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161, Natural Resources Code, is amended by adding Section 161.080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161.080.</w:t>
      </w:r>
      <w:r>
        <w:rPr>
          <w:u w:val="single"/>
        </w:rPr>
        <w:t xml:space="preserve"> </w:t>
      </w:r>
      <w:r>
        <w:rPr>
          <w:u w:val="single"/>
        </w:rPr>
        <w:t xml:space="preserve"> </w:t>
      </w:r>
      <w:r>
        <w:rPr>
          <w:u w:val="single"/>
        </w:rPr>
        <w:t xml:space="preserve">CONFIDENTIALITY OF CERTAIN INFORMATION.  (a)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veteran or a family member of the veteran who applies for or receives any benefits or services offered by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member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 including a reserve component;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that term is defined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following information received or maintained by the board that relates to a person to whom this section applies is confidential and not subject to disclosure under Chapter 552,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e-mail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emergency contact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security number;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information that reveals whether the person has family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disclose the information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 agency, state agency, political subdivision of this state, or private vendor contracted by the board for the purpose of administering any benefits or services offered by the board for veterans or the family members of veterans;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with the written consent of a person to whom this section applies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is disclosed for the purpose specified in the written consent;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disclosed information relates to the consenting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disclosed under Subsection (c) is not subject to disclosure under Chapter 552, Government Code, and the disclosure does not constitute a voluntary disclosure to the public by the board for purposes of Section 552.007,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any conflict between this section and Section 552.137, Government Code, this 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