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87R13922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inspection requirements for buyer's temporary tags for vehicles sold to nonresident buyers of certain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503.063, Transportation Code, is amended by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vehicle may be issued and display a buyer's tag without satisfying the inspection requirements of Chapter 548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buyer of the vehicle is not a resident of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vehicle: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of purchase, is not located or required to be titled or registered in 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titled and registered in accordance with the laws of the buyer's state of residence;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 be inspected in accordance with the laws of the buyer's state of residence, if the laws of that state require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