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87R18151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 Oliverson</w:t>
      </w:r>
      <w:r xml:space="preserve">
        <w:tab wTab="150" tlc="none" cTlc="0"/>
      </w:r>
      <w:r>
        <w:t xml:space="preserve">H.B.</w:t>
      </w:r>
      <w:r xml:space="preserve">
        <w:t> </w:t>
      </w:r>
      <w:r>
        <w:t xml:space="preserve">No.</w:t>
      </w:r>
      <w:r xml:space="preserve">
        <w:t> </w:t>
      </w:r>
      <w:r>
        <w:t xml:space="preserve">3433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discrimination on the basis of an individual's political affiliation or expression by certain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544, Insurance Code, is amended by adding Subchapter M to read as follows:</w:t>
      </w:r>
    </w:p>
    <w:p w:rsidR="003F3435" w:rsidRDefault="0032493E">
      <w:pPr>
        <w:spacing w:line="480" w:lineRule="auto"/>
        <w:jc w:val="center"/>
      </w:pPr>
      <w:r>
        <w:rPr>
          <w:u w:val="single"/>
        </w:rPr>
        <w:t xml:space="preserve">SUBCHAPTER M. POLITICAL AFFILIATION AND EXPRESSION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544.601.</w:t>
      </w:r>
      <w:r>
        <w:rPr>
          <w:u w:val="single"/>
        </w:rPr>
        <w:t xml:space="preserve"> </w:t>
      </w:r>
      <w:r>
        <w:rPr>
          <w:u w:val="single"/>
        </w:rPr>
        <w:t xml:space="preserve"> </w:t>
      </w:r>
      <w:r>
        <w:rPr>
          <w:u w:val="single"/>
        </w:rPr>
        <w:t xml:space="preserve">APPLICABILITY OF SUBCHAPTER.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legal entity engaged in the business of insurance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capital stock insurance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mutual insurance company;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title insurance company;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fraternal benefit society;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local mutual aid association;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statewide mutual assessment company;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county mutual insurance company;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Lloyd's plan;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reciprocal or interinsurance exchange;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stipulated premium company;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group hospital service corporation;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farm mutual insurance company;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risk retention group;</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eligible surplus lines insurer; and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an agent, broker, adjuster, or life and health insurance counselor;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health maintenance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544.602.</w:t>
      </w:r>
      <w:r>
        <w:rPr>
          <w:u w:val="single"/>
        </w:rPr>
        <w:t xml:space="preserve"> </w:t>
      </w:r>
      <w:r>
        <w:rPr>
          <w:u w:val="single"/>
        </w:rPr>
        <w:t xml:space="preserve"> </w:t>
      </w:r>
      <w:r>
        <w:rPr>
          <w:u w:val="single"/>
        </w:rPr>
        <w:t xml:space="preserve">PROHIBITION.  Except as provided by Section 544.603, a person may not refuse to insure or provide coverage to an individual, refuse to continue to insure or provide coverage to an individual, limit the amount, extent, or kind of coverage available for an individual, or charge an individual a rate that is different from the rate charged to other individuals for the same coverage because of the individual's political affiliation or expression.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544.603.</w:t>
      </w:r>
      <w:r>
        <w:rPr>
          <w:u w:val="single"/>
        </w:rPr>
        <w:t xml:space="preserve"> </w:t>
      </w:r>
      <w:r>
        <w:rPr>
          <w:u w:val="single"/>
        </w:rPr>
        <w:t xml:space="preserve"> </w:t>
      </w:r>
      <w:r>
        <w:rPr>
          <w:u w:val="single"/>
        </w:rPr>
        <w:t xml:space="preserve">EXCEPTIONS. </w:t>
      </w:r>
      <w:r>
        <w:rPr>
          <w:u w:val="single"/>
        </w:rPr>
        <w:t xml:space="preserve"> </w:t>
      </w:r>
      <w:r>
        <w:rPr>
          <w:u w:val="single"/>
        </w:rPr>
        <w:t xml:space="preserve">A person does not violate Section 544.602 if the refusal, limitation, or charge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sound underwriting or actuarial principles reasonably related to actual or anticipated loss experience;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or authorized by law or a regulatory mandate.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544.604.</w:t>
      </w:r>
      <w:r>
        <w:rPr>
          <w:u w:val="single"/>
        </w:rPr>
        <w:t xml:space="preserve"> </w:t>
      </w:r>
      <w:r>
        <w:rPr>
          <w:u w:val="single"/>
        </w:rPr>
        <w:t xml:space="preserve"> </w:t>
      </w:r>
      <w:r>
        <w:rPr>
          <w:u w:val="single"/>
        </w:rPr>
        <w:t xml:space="preserve">ENFORCEMENT ACTIONS.  (a) A health maintenance organization or legal entity engaged in the business of insurance that is found to be in violation of or to have failed to comply with this subchapter is subject to the sanctions provided by Chapter 82 or administrative penalties authorized under Chapter 84.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procedures provided by Subsection (a), the commissioner may use the cease and desist procedures authorized by Chapter 83.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M, Chapter 544, Insurance Code, as added by this Act, does not apply to an insurance policy that is delivered, issued for delivery, or renewed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