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87R5257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3440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a claimant must provide when bringing an action asserting an asbestos-related injury.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90, Civil Practice and Remedies Code, is amended by adding Section 90.0031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90.0031.</w:t>
      </w:r>
      <w:r>
        <w:rPr>
          <w:u w:val="single"/>
        </w:rPr>
        <w:t xml:space="preserve"> </w:t>
      </w:r>
      <w:r>
        <w:rPr>
          <w:u w:val="single"/>
        </w:rPr>
        <w:t xml:space="preserve"> </w:t>
      </w:r>
      <w:r>
        <w:rPr>
          <w:u w:val="single"/>
        </w:rPr>
        <w:t xml:space="preserve">SWORN INFORMATION FORM REQUIRED FOR CLAIMS INVOLVING ASBESTOS-RELATED INJURY.  (a)  A claimant asserting an asbestos-related injury on or after September 1, 2021, must, in addition to meeting the requirements of Section 90.003, serve on each defendant a sworn information form specifying the evidence that provides the basis for each claim against each defendant. The sworn information form must be served with the petition and include all of the following with specificity: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date of birth, marital status, occupation, current and past worksites, and current and past employers of the exposed person and any person through whom the exposed person was exposed to asbestos;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through whom the exposed person was exposed to asbestos and the exposed person's relationship to each such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asbestos-containing product, whether from a bankrupt entity or otherwise, to which the exposed person was exposed, or if the exposed person was exposed through another person, to which that other person was exposed;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specific location and manner of each exposure, including for any person through whom the exposed person was exposed to asbestos;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beginning and ending dates of each exposure, the frequency and length of each exposure, and the proximity of the asbestos-containing product or its use to the exposed person and any person through whom the exposed person was exposed to asbestos;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identity of the manufacturer or seller of the specific asbestos product for each exposure;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specific asbestos-related disease claimed to exist;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supporting documentation relating to the information required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claimant has a continuing duty to supplement the information that Subsection (a) requires to be disclosed.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dismiss a claimant's asbestos claim without prejudice as to any defendant whose product or premises is not identified in the required disclosures set forth in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dismiss a claimant's asbestos claim without prejudice as to all defendants if the claimant fails to comply with the requirements of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