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the State Board of Veterinary Medical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801.207, Occupations Code, is amended by amending Subsections (b) and (c) and adding Subsection</w:t>
      </w:r>
      <w:r>
        <w:t xml:space="preserve">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each</w:t>
      </w:r>
      <w:r>
        <w:t xml:space="preserve"> [</w:t>
      </w:r>
      <w:r>
        <w:rPr>
          <w:strike/>
        </w:rPr>
        <w:t xml:space="preserve">Each</w:t>
      </w:r>
      <w:r>
        <w:t xml:space="preserve">]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14th day before the date of an informal proceeding under Section 801.408, the board shall provide to the license holder who is the subject of the complaint a copy of the record of any review conducted under Section 801.2055 of a complaint requiring medical expertise. </w:t>
      </w:r>
      <w:r>
        <w:rPr>
          <w:u w:val="single"/>
        </w:rPr>
        <w:t xml:space="preserve"> </w:t>
      </w:r>
      <w:r>
        <w:rPr>
          <w:u w:val="single"/>
        </w:rPr>
        <w:t xml:space="preserve">The board shall redact the name of each veterinarian who conducted the review.</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(b-1), the</w:t>
      </w:r>
      <w:r>
        <w:t xml:space="preserve"> [</w:t>
      </w:r>
      <w:r>
        <w:rPr>
          <w:strike/>
        </w:rPr>
        <w:t xml:space="preserve">The</w:t>
      </w:r>
      <w:r>
        <w:t xml:space="preserve">] board shall protect the identity of a complainant to the extent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801.207, Occupations Code, as amended by this Act, applies only to a complaint filed with the State Board of Veterinary Medical Examiners on or after the effective date of this Act. A complaint filed with the board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3442 was passed by the House on April 23, 2021, by the following vote:</w:t>
      </w:r>
      <w:r xml:space="preserve">
        <w:t> </w:t>
      </w:r>
      <w:r xml:space="preserve">
        <w:t> </w:t>
      </w:r>
      <w:r>
        <w:t xml:space="preserve">Yeas 145, Nays 1, 2 present, not voting; and that the House concurred in Senate amendments to H.B. No. 3442 on May 24,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3442 was passed by the Senate, with amendments, on May 13,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