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87R11909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3442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State Board of Veterinary Medical Examiners provide a copy of a complaint to the subject of the complaint.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801.207, Occupations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board shall provide a copy of each complaint to the license holder who is the subject of the complaint not later than the 14th day before the date any response is due, unless providing a copy of the complaint would jeopardize an investigation. The board may not require the license holder to request a copy of the complaint.</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(b-1), the</w:t>
      </w:r>
      <w:r>
        <w:t xml:space="preserve"> [</w:t>
      </w:r>
      <w:r>
        <w:rPr>
          <w:strike/>
        </w:rPr>
        <w:t xml:space="preserve">The</w:t>
      </w:r>
      <w:r>
        <w:t xml:space="preserve">] board shall protect the identity of a complainant to the extent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801.207, Occupations Code, as amended by this Act, applies only to a complaint filed with the State Board of Veterinary Medical Examiners on or after the effective date of this Act. A complaint filed with the board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