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 et al.</w:t>
      </w:r>
      <w:r>
        <w:t xml:space="preserve"> (Senate Sponsor</w:t>
      </w:r>
      <w:r xml:space="preserve">
        <w:t> </w:t>
      </w:r>
      <w:r>
        <w:t xml:space="preserve">-</w:t>
      </w:r>
      <w:r xml:space="preserve">
        <w:t> </w:t>
      </w:r>
      <w:r>
        <w:t xml:space="preserve">Powell)</w:t>
      </w:r>
      <w:r xml:space="preserve">
        <w:tab wTab="150" tlc="none" cTlc="0"/>
      </w:r>
      <w:r>
        <w:t xml:space="preserve">H.B.</w:t>
      </w:r>
      <w:r xml:space="preserve">
        <w:t> </w:t>
      </w:r>
      <w:r>
        <w:t xml:space="preserve">No.</w:t>
      </w:r>
      <w:r xml:space="preserve">
        <w:t> </w:t>
      </w:r>
      <w:r>
        <w:t xml:space="preserve">3442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4,</w:t>
      </w:r>
      <w:r xml:space="preserve">
        <w:t> </w:t>
      </w:r>
      <w:r>
        <w:t xml:space="preserve">2021, read first time and referred to Committee on Water, Agriculture &amp; Rural Affairs; May</w:t>
      </w:r>
      <w:r xml:space="preserve">
        <w:t> </w:t>
      </w:r>
      <w:r>
        <w:t xml:space="preserve">13,</w:t>
      </w:r>
      <w:r xml:space="preserve">
        <w:t> </w:t>
      </w:r>
      <w:r>
        <w:t xml:space="preserve">2021, reported favorably by the following vote:</w:t>
      </w:r>
      <w:r>
        <w:t xml:space="preserve"> </w:t>
      </w:r>
      <w:r>
        <w:t xml:space="preserve"> </w:t>
      </w:r>
      <w:r>
        <w:t xml:space="preserve">Yeas 8,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complaints filed with the State Board of Veterinary Medical Examiners.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801.207, Occupations Code, is amended by amending Subsections (b) and (c) and adding Subsections (b-1), (b-2), and (b-3)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Subsections (b-1) and (b-2), each</w:t>
      </w:r>
      <w:r>
        <w:t xml:space="preserve"> [</w:t>
      </w:r>
      <w:r>
        <w:rPr>
          <w:strike/>
        </w:rPr>
        <w:t xml:space="preserve">Each</w:t>
      </w:r>
      <w:r>
        <w:t xml:space="preserve">] complaint, investigation file and record, and other investigation report and all other investigative information in the possession of or received or gathered by the board or the board's employees or agents relating to a license holder, an application for license, or a criminal investigation or proceeding is privileged and confidential and is not subject to discovery, subpoena, or other means of legal compulsion for release to anyone other than the board or the board's employees or agents involved in discipline of a license holder.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shall provide a copy of each complaint to the license holder who is the subject of the complaint not later than the 14th day before the date any response is due, unless providing a copy of the complaint would jeopardize an investigation. The board may not require the license holder to request a copy of the complaint.</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board shall provide to the complainant a copy of any response to the complaint the license holder provides not later than the 14th day after the date the board receives the response, unless providing the copy would jeopardize an investigation or the act alleged in the complaint is not under the board's jurisdiction. </w:t>
      </w:r>
      <w:r>
        <w:rPr>
          <w:u w:val="single"/>
        </w:rPr>
        <w:t xml:space="preserve"> </w:t>
      </w:r>
      <w:r>
        <w:rPr>
          <w:u w:val="single"/>
        </w:rPr>
        <w:t xml:space="preserve">If the board provides a copy of a response to a complainant, the board shall include with the copy notice of the complainant's opportunity to rebut the license holder's response.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board is not required to provide a copy of the complaint under Subsection (b-1) or a license holder's response under Subsection (b-2) for a complaint initiated by the board.</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(b-1), the</w:t>
      </w:r>
      <w:r>
        <w:t xml:space="preserve"> [</w:t>
      </w:r>
      <w:r>
        <w:rPr>
          <w:strike/>
        </w:rPr>
        <w:t xml:space="preserve">The</w:t>
      </w:r>
      <w:r>
        <w:t xml:space="preserve">] board shall protect the identity of a complainant to the extent possible.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801.207, Occupations Code, as amended by this Act, applies only to a complaint filed with the State Board of Veterinary Medical Examiners on or after the effective date of this Act. A complaint filed with the board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