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87R8150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use of a public school's excess funds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 Education Code, is amended by adding Section 44.013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44.013.</w:t>
      </w:r>
      <w:r>
        <w:rPr>
          <w:u w:val="single"/>
        </w:rPr>
        <w:t xml:space="preserve"> </w:t>
      </w:r>
      <w:r>
        <w:rPr>
          <w:u w:val="single"/>
        </w:rPr>
        <w:t xml:space="preserve"> </w:t>
      </w:r>
      <w:r>
        <w:rPr>
          <w:u w:val="single"/>
        </w:rPr>
        <w:t xml:space="preserve">USE OF EXCESS FUNDS REQUIRED.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"Cash on hand" includes cash equivalents and money invested in short-term investments.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"Operating expenses" means total general fund expenditures less any capital outlay.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annually review the district's or school's fund balances to determine the amount of excess funds held by the district or school as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school district or open-enrollment charter school has excess funds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district, the total amount of the district's cash on hand or unobligated funds exceeds the district's operating expenses for a period of 110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school, the total amount of the school's cash on hand or net assets exceeds the school's operating expenses for a period of 80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end of the fiscal year following a determination made under Subsection (b), each school district or open-enrollment charter school shall use the amount of excess funds identified under that subsection, if any, to,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down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lower the district's maintenance and operations tax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employee compensation, subject to Subsection (e);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of deferred maintenance.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Funding provided for employee compensation under Subsection (d)(3) must be used to implement a new compensation program or supplement an existing compensation program and may not be used to supplant funding for an existing compensation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Subsection (g), for any period of the fiscal year following a determination made under Subsection (b) in which the school district or open-enrollment charter school has excess funds, the district or school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district, issue a bond or hold an election seeking voter approval to issue a bond under Subchapter A, Chapter 45;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funding under Section 12.106(d);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bonds issued under Chapter 53 for the school to be guaranteed by the permanent school fund under Chapter 45, as provided by Section 12.135.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restrictions under Subsection (f) do not apply to a school district or open-enrollment charter school that posts on the district's or school's Internet website an explanation of how the district's or school's excess funds identified under Subsection (b) will be spent in accordance with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commissioner determines that a school district or open-enrollment charter school has failed to comply with this section, the commissioner shall, as applicable, increase the district's local share under Section 48.256 or reduce the school's entitlement under Section 12.106 by an amount equal to the amount of the district's or school's excess funds not spent as required under Subsection (d).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special-purpose school district established under Section 11.351 that is operated by an institution of higher education, as that term is defined by Section 61.003;</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open-enrollment charter school operated under a charter granted to a governmental 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charter school granted a charter under Subchapter E, Chapter 12.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12.106, Education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shall reduce the amount of funding to which a charter holder is entitled for an open-enrollment charter school under this section as provided by Section 44.013(h).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48.256,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increase a school district's local share under this section as provided by Section 44.013(h).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48.277, Education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The commissioner shall reduce a school district's or open-enrollment charter school's allotment under this section as necessary to comply with Section 44.013(h).</w:t>
      </w:r>
    </w:p>
    <w:p w:rsidR="003F3435" w:rsidRDefault="0032493E">
      <w:pPr>
        <w:spacing w:line="480" w:lineRule="auto"/>
        <w:ind w:firstLine="720"/>
        <w:jc w:val="both"/>
      </w:pPr>
      <w:r>
        <w:rPr>
          <w:u w:val="single"/>
        </w:rPr>
        <w:t xml:space="preserve">(f)</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48.278,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reduce a school district's allotment under this section as necessary to comply with Section 44.013(h).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