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87R19549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include any person licensed under Chapter 201 or 453, Occupations Code, as a member of the district or charter school concussion oversight team, provided that the person meets the training requirement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