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87R19549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include any person licensed under Chapter 201 or 453, Occupations Code, as a member of the district or charter school concussion oversight team, provided that the person meets the training requirement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 </w:t>
      </w:r>
      <w:r>
        <w:rPr>
          <w:u w:val="single"/>
        </w:rPr>
        <w:t xml:space="preserve">or 453</w:t>
      </w:r>
      <w:r>
        <w:t xml:space="preserve">, Occupations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school nurse;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