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3452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granting limited state law enforcement authority to certain federal special agents.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t xml:space="preserve">(14)</w:t>
      </w:r>
      <w:r xml:space="preserve">
        <w:t> </w:t>
      </w:r>
      <w:r xml:space="preserve">
        <w:t> </w:t>
      </w:r>
      <w:r>
        <w:t xml:space="preserve">Special Agents of the Office of Inspector General of the United States Department of Agriculture;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rPr>
          <w:u w:val="single"/>
        </w:rPr>
        <w:t xml:space="preserve">Special Agents of the Office of Export Enforcement of the United States Department of Commerce;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Special Agents of the Criminal Investigation Command of the United States Army; and</w:t>
      </w:r>
    </w:p>
    <w:p w:rsidR="003F3435" w:rsidRDefault="0032493E">
      <w:pPr>
        <w:spacing w:line="480" w:lineRule="auto"/>
        <w:ind w:firstLine="1440"/>
        <w:jc w:val="both"/>
      </w:pPr>
      <w:r>
        <w:rPr>
          <w:u w:val="single"/>
        </w:rPr>
        <w:t xml:space="preserve">(17)</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