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87R8190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3455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separation of students based on gender for athletics teams sponsored or authorized by a public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Sections 33.0815 and 33.0821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33.0815.</w:t>
      </w:r>
      <w:r>
        <w:rPr>
          <w:u w:val="single"/>
        </w:rPr>
        <w:t xml:space="preserve"> </w:t>
      </w:r>
      <w:r>
        <w:rPr>
          <w:u w:val="single"/>
        </w:rPr>
        <w:t xml:space="preserve"> </w:t>
      </w:r>
      <w:r>
        <w:rPr>
          <w:u w:val="single"/>
        </w:rPr>
        <w:t xml:space="preserve">SEPARATION OF ATHLETICS TEAMS BASED ON GENDER.  (a)  In this section, "athletic team" means an interscholastic, intramural, or other extracurricular athletic team.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not sponsor or authorize an athletic team for cross-country, golf, swimming, tennis, track-and-field, or wrestling that is designated for participation by both male and female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athletic team sponsored or authorized by a school district or open-enrollment charter school may not allow a student to participate in an athletic activity sponsored or authorized by the district or school that is designated for the gender opposite to the student's gender.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athletic team may allow a female student to participate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basketball or soccer athletic activity designated for male students, if a corresponding basketball or soccer athletic activity designated for female students is not offered;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football athletic activity designated for middle, junior high, or high school students;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baseball athletic activity, if the student is not participating in any softball athletic activities designated for female students during the same time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athletic team for team tennis designated for participation by both male and female students that is sponsored or authorized by a school district or open-enrollment charter school may not permit male students to qualify for positions on the team designated for female students or female students to qualify for positions on the team designated for male students.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athletic team for wrestling that is sponsored by a school district or open-enrollment charter school may not permit male students to compete against female students in an athletic activity held in this state or in any other state in which both athletic teams designated for male students and athletic teams designated for female students are sponsored or authorized.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this section, a student's gender is determined based on the gender identified on the student's birth certificate or, if the student's birth certificate is unavailable, a similar government document, as determined by commissioner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33.0821.</w:t>
      </w:r>
      <w:r>
        <w:rPr>
          <w:u w:val="single"/>
        </w:rPr>
        <w:t xml:space="preserve"> </w:t>
      </w:r>
      <w:r>
        <w:rPr>
          <w:u w:val="single"/>
        </w:rPr>
        <w:t xml:space="preserve"> </w:t>
      </w:r>
      <w:r>
        <w:rPr>
          <w:u w:val="single"/>
        </w:rPr>
        <w:t xml:space="preserve">NONDISCRIMINATION POLICY FOR ATHLETICS.  Except as provided by Section 33.0815, an interscholastic, intramural, or other extracurricular athletic team sponsored or authorized by a school district or open-enrollment charter school may not discriminate on the basis of disability, race, color, national origin, gender, or religion in holding tryouts for or selecting students to participate on the team.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