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3457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Criminal Justice;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applicability of certain laws to the Windham School District and teachers or administrators of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19.009, Education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21.210 and 21.355 apply to the Windham School District and a teacher or administrator employed by the district in the same manner as those sections apply to any other school district and a teacher or administrator employed by those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