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87R12128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39.151(g), Utilities Code, is amended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the use of a professional search firm to identify candidates for membership of unaffiliated members.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and selected by the other members of the governing body to serve three-year terms</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unaffiliated with any market segment who is a climate scientist selected by the other members of the governing body to serve a three-year term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the effective date of this Act shall modify the organization's governing body to comply with Section 39.151, Utilities Code, as amended by this Act, as soon as practicable, but not later than September 1, 2021.</w:t>
      </w:r>
    </w:p>
    <w:p w:rsidR="003F3435" w:rsidRDefault="0032493E">
      <w:pPr>
        <w:spacing w:line="480" w:lineRule="auto"/>
        <w:ind w:firstLine="720"/>
        <w:jc w:val="both"/>
      </w:pPr>
      <w:r>
        <w:t xml:space="preserve">(b)</w:t>
      </w:r>
      <w:r xml:space="preserve">
        <w:t> </w:t>
      </w:r>
      <w:r xml:space="preserve">
        <w:t> </w:t>
      </w:r>
      <w:r>
        <w:t xml:space="preserve">After September 1, 2021, the Public Utility Commission of Texas may decertify an independent organization whose governing body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