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87R11028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in this state; imposing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15.023, Utilities Code, is amended by amending Subsections (b), (c), and (d)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t xml:space="preserve">[</w:t>
      </w:r>
      <w:r>
        <w:rPr>
          <w:strike/>
        </w:rPr>
        <w:t xml:space="preserve">The</w:t>
      </w:r>
      <w:r>
        <w:t xml:space="preserve">] penalty for a violation may be in an amount not to exceed $25,000.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penalty for a violation of a reliability standard adopted by the independent organization certified under Section 39.151 or of a commission rule relating to reliability in the wholesale electric market may be in an amount not to exceed $100,000.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person pays a penalty to a federal authority for a violation of a reliability standard that is the same or substantially the same as a reliability standard adopted by the independent organization certified under Section 39.151: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not assess an administrative penalty for the same instance or circumstance for which the person paid the federal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refund the full amount of an administrative penalty that the commission assessed against the person before the date the person paid the federal penalty, if the commission assessed the penalty for the same instance or circumstance for which the person paid the federal penalty.</w:t>
      </w:r>
    </w:p>
    <w:p w:rsidR="003F3435" w:rsidRDefault="0032493E">
      <w:pPr>
        <w:spacing w:line="480" w:lineRule="auto"/>
        <w:ind w:firstLine="720"/>
        <w:jc w:val="both"/>
      </w:pPr>
      <w:r>
        <w:t xml:space="preserve">(c)</w:t>
      </w:r>
      <w:r xml:space="preserve">
        <w:t> </w:t>
      </w:r>
      <w:r xml:space="preserve">
        <w:t> </w:t>
      </w:r>
      <w:r>
        <w:t xml:space="preserve">The commission by rule shall establish a classification system for violations </w:t>
      </w:r>
      <w:r>
        <w:rPr>
          <w:u w:val="single"/>
        </w:rPr>
        <w:t xml:space="preserve">described by Subsection (b) and a separate classification system for violations described by Subsection (b-1). </w:t>
      </w:r>
      <w:r>
        <w:rPr>
          <w:u w:val="single"/>
        </w:rPr>
        <w:t xml:space="preserve"> </w:t>
      </w:r>
      <w:r>
        <w:rPr>
          <w:u w:val="single"/>
        </w:rPr>
        <w:t xml:space="preserve">Each system must include</w:t>
      </w:r>
      <w:r>
        <w:t xml:space="preserve"> [</w:t>
      </w:r>
      <w:r>
        <w:rPr>
          <w:strike/>
        </w:rPr>
        <w:t xml:space="preserve">that includes</w:t>
      </w:r>
      <w:r>
        <w:t xml:space="preserve">] a range of administrative penalties that may be assessed for each class of violation</w:t>
      </w:r>
      <w:r>
        <w:rPr>
          <w:u w:val="single"/>
        </w:rPr>
        <w:t xml:space="preserve">,</w:t>
      </w:r>
      <w:r>
        <w:t xml:space="preserv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classification system established under Subsection (c) shall provide that a penalty in an amount that exceeds $5,000 may be assessed only if the violation is included in the highest class of violations in the classification system. </w:t>
      </w:r>
      <w:r>
        <w:t xml:space="preserve"> </w:t>
      </w:r>
      <w:r>
        <w:rPr>
          <w:u w:val="single"/>
        </w:rPr>
        <w:t xml:space="preserve">This subsection does not apply to the classification system established under Subsection (c) for a violation described by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on its own motion may issue a cease and desist order:</w:t>
      </w:r>
    </w:p>
    <w:p w:rsidR="003F3435" w:rsidRDefault="0032493E">
      <w:pPr>
        <w:spacing w:line="480" w:lineRule="auto"/>
        <w:ind w:firstLine="1440"/>
        <w:jc w:val="both"/>
      </w:pPr>
      <w:r>
        <w:t xml:space="preserve">(1)</w:t>
      </w:r>
      <w:r xml:space="preserve">
        <w:t> </w:t>
      </w:r>
      <w:r xml:space="preserve">
        <w:t> </w:t>
      </w:r>
      <w:r>
        <w:t xml:space="preserve">after providing notice and an opportunity for a hearing if practicable or without notice or opportunity for a hearing; and</w:t>
      </w:r>
    </w:p>
    <w:p w:rsidR="003F3435" w:rsidRDefault="0032493E">
      <w:pPr>
        <w:spacing w:line="480" w:lineRule="auto"/>
        <w:ind w:firstLine="1440"/>
        <w:jc w:val="both"/>
      </w:pPr>
      <w:r>
        <w:t xml:space="preserve">(2)</w:t>
      </w:r>
      <w:r xml:space="preserve">
        <w:t> </w:t>
      </w:r>
      <w:r xml:space="preserve">
        <w:t> </w:t>
      </w:r>
      <w:r>
        <w:t xml:space="preserve">if the commission determines that the conduct of a person:</w:t>
      </w:r>
    </w:p>
    <w:p w:rsidR="003F3435" w:rsidRDefault="0032493E">
      <w:pPr>
        <w:spacing w:line="480" w:lineRule="auto"/>
        <w:ind w:firstLine="2160"/>
        <w:jc w:val="both"/>
      </w:pPr>
      <w:r>
        <w:t xml:space="preserve">(A)</w:t>
      </w:r>
      <w:r xml:space="preserve">
        <w:t> </w:t>
      </w:r>
      <w:r xml:space="preserve">
        <w:t> </w:t>
      </w:r>
      <w:r>
        <w:t xml:space="preserve">poses a threat to continuous and adequate electric service;</w:t>
      </w:r>
    </w:p>
    <w:p w:rsidR="003F3435" w:rsidRDefault="0032493E">
      <w:pPr>
        <w:spacing w:line="480" w:lineRule="auto"/>
        <w:ind w:firstLine="2160"/>
        <w:jc w:val="both"/>
      </w:pPr>
      <w:r>
        <w:t xml:space="preserve">(B)</w:t>
      </w:r>
      <w:r xml:space="preserve">
        <w:t> </w:t>
      </w:r>
      <w:r xml:space="preserve">
        <w:t> </w:t>
      </w:r>
      <w:r>
        <w:rPr>
          <w:u w:val="single"/>
        </w:rPr>
        <w:t xml:space="preserve">is fraudulent;</w:t>
      </w:r>
    </w:p>
    <w:p w:rsidR="003F3435" w:rsidRDefault="0032493E">
      <w:pPr>
        <w:spacing w:line="480" w:lineRule="auto"/>
        <w:ind w:firstLine="2160"/>
        <w:jc w:val="both"/>
      </w:pPr>
      <w:r>
        <w:rPr>
          <w:u w:val="single"/>
        </w:rPr>
        <w:t xml:space="preserve">(C)</w:t>
      </w:r>
      <w:r xml:space="preserve">
        <w:t> </w:t>
      </w:r>
      <w:r xml:space="preserve">
        <w:t> </w:t>
      </w:r>
      <w:r>
        <w:t xml:space="preserve">is hazardous;</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creates an immediate danger to the public safety; or</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is causing or can be reasonably expected to cause an immediate injury to a customer of electric services and that the injury is incapable of being repaired or rectified by monetary compensation.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15, Utilities Code, is amended by adding Section 15.108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15.108.</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The commission may impose an administrative penalty under Subchapter B against a person who violates an order issued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31.003,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issued under this section before September 1, 2023, must include a summary of the information required by Section 39.926 to be provided on the Internet website found at http://www.puc.state.tx.us.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39.1516, 39.155, 39.157(e), 39.203, 39.904, 39.9051, 39.9052, [</w:t>
      </w:r>
      <w:r>
        <w:rPr>
          <w:strike/>
        </w:rPr>
        <w:t xml:space="preserve">and</w:t>
      </w:r>
      <w:r>
        <w:t xml:space="preserve">] 39.914(e), </w:t>
      </w:r>
      <w:r>
        <w:rPr>
          <w:u w:val="single"/>
        </w:rPr>
        <w:t xml:space="preserve">and 39.9161,</w:t>
      </w:r>
      <w:r>
        <w:t xml:space="preserv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39.151, Utilities Code, is amended by amending Subsections (d-1), (d-2), (d-3), and (e) and adding Subsections (g-2) and (g-3) to read as follows:</w:t>
      </w:r>
    </w:p>
    <w:p w:rsidR="003F3435" w:rsidRDefault="0032493E">
      <w:pPr>
        <w:spacing w:line="480" w:lineRule="auto"/>
        <w:ind w:firstLine="720"/>
        <w:jc w:val="both"/>
      </w:pPr>
      <w:r>
        <w:t xml:space="preserve">(d-1)</w:t>
      </w:r>
      <w:r xml:space="preserve">
        <w:t> </w:t>
      </w:r>
      <w:r xml:space="preserve">
        <w:t> </w:t>
      </w:r>
      <w:r>
        <w:t xml:space="preserve">The commission shall require an independent organization certified by the commission under this section to </w:t>
      </w:r>
      <w:r>
        <w:rPr>
          <w:u w:val="single"/>
        </w:rPr>
        <w:t xml:space="preserve">annually</w:t>
      </w:r>
      <w:r>
        <w:t xml:space="preserve"> submit to the commission </w:t>
      </w:r>
      <w:r>
        <w:rPr>
          <w:u w:val="single"/>
        </w:rPr>
        <w:t xml:space="preserve">for review and approval</w:t>
      </w:r>
      <w:r>
        <w:t xml:space="preserve"> the organization's entire proposed annual budget. </w:t>
      </w:r>
      <w:r>
        <w:t xml:space="preserve"> </w:t>
      </w:r>
      <w:r>
        <w:t xml:space="preserve">The commission [</w:t>
      </w:r>
      <w:r>
        <w:rPr>
          <w:strike/>
        </w:rPr>
        <w:t xml:space="preserve">shall review the proposed budgets either annually or biennially and</w:t>
      </w:r>
      <w:r>
        <w:t xml:space="preserve">] may approve, disapprove, or modify any item included in </w:t>
      </w:r>
      <w:r>
        <w:rPr>
          <w:u w:val="single"/>
        </w:rPr>
        <w:t xml:space="preserve">the</w:t>
      </w:r>
      <w:r>
        <w:t xml:space="preserve"> [</w:t>
      </w:r>
      <w:r>
        <w:rPr>
          <w:strike/>
        </w:rPr>
        <w:t xml:space="preserve">a</w:t>
      </w:r>
      <w:r>
        <w:t xml:space="preserve">] proposed budget.  The commission by rule shall establish the type of information or documents needed to effectively evaluate the proposed budget and reasonable dates for the submission of that information or those documents.  The commission shall establish a procedure to provide public notice of and public participation in the budget review process.</w:t>
      </w:r>
    </w:p>
    <w:p w:rsidR="003F3435" w:rsidRDefault="0032493E">
      <w:pPr>
        <w:spacing w:line="480" w:lineRule="auto"/>
        <w:ind w:firstLine="720"/>
        <w:jc w:val="both"/>
      </w:pPr>
      <w:r>
        <w:t xml:space="preserve">(d-2)</w:t>
      </w:r>
      <w:r xml:space="preserve">
        <w:t> </w:t>
      </w:r>
      <w:r xml:space="preserve">
        <w:t> </w:t>
      </w:r>
      <w:r>
        <w:rPr>
          <w:u w:val="single"/>
        </w:rPr>
        <w:t xml:space="preserve">An</w:t>
      </w:r>
      <w:r>
        <w:t xml:space="preserve"> [</w:t>
      </w:r>
      <w:r>
        <w:rPr>
          <w:strike/>
        </w:rPr>
        <w:t xml:space="preserve">Except as otherwise agreed to by the commission and an</w:t>
      </w:r>
      <w:r>
        <w:t xml:space="preserve">] independent organization certified by the commission under this section[</w:t>
      </w:r>
      <w:r>
        <w:rPr>
          <w:strike/>
        </w:rPr>
        <w:t xml:space="preserve">, the organization</w:t>
      </w:r>
      <w:r>
        <w:t xml:space="preserve">] must submit to the commission for review and approval proposals for obtaining debt financing or for refinancing existing debt. </w:t>
      </w:r>
      <w:r>
        <w:t xml:space="preserve"> </w:t>
      </w:r>
      <w:r>
        <w:t xml:space="preserve">The commission may approve, disapprove, or modify a proposal.</w:t>
      </w:r>
    </w:p>
    <w:p w:rsidR="003F3435" w:rsidRDefault="0032493E">
      <w:pPr>
        <w:spacing w:line="480" w:lineRule="auto"/>
        <w:ind w:firstLine="720"/>
        <w:jc w:val="both"/>
      </w:pPr>
      <w:r>
        <w:t xml:space="preserve">(d-3)</w:t>
      </w:r>
      <w:r xml:space="preserve">
        <w:t> </w:t>
      </w:r>
      <w:r xml:space="preserve">
        <w:t> </w:t>
      </w:r>
      <w:r>
        <w:t xml:space="preserve">An independent organization certified by the commission under this section shall develop proposed performance measures to track the organization's operations. </w:t>
      </w:r>
      <w:r>
        <w:t xml:space="preserve"> </w:t>
      </w:r>
      <w:r>
        <w:t xml:space="preserve">The independent organization must submit the proposed performance measures to the commission for review and approval. </w:t>
      </w:r>
      <w:r>
        <w:t xml:space="preserve"> </w:t>
      </w:r>
      <w:r>
        <w:t xml:space="preserve">The commission shall </w:t>
      </w:r>
      <w:r>
        <w:rPr>
          <w:u w:val="single"/>
        </w:rPr>
        <w:t xml:space="preserve">annually</w:t>
      </w:r>
      <w:r>
        <w:t xml:space="preserve"> review the organization's performance as part of the budget review process under Subsection (d-1). </w:t>
      </w:r>
      <w:r>
        <w:t xml:space="preserve"> </w:t>
      </w:r>
      <w:r>
        <w:t xml:space="preserve">The commission shall prepare </w:t>
      </w:r>
      <w:r>
        <w:rPr>
          <w:u w:val="single"/>
        </w:rPr>
        <w:t xml:space="preserve">an annual</w:t>
      </w:r>
      <w:r>
        <w:t xml:space="preserve"> [</w:t>
      </w:r>
      <w:r>
        <w:rPr>
          <w:strike/>
        </w:rPr>
        <w:t xml:space="preserve">a</w:t>
      </w:r>
      <w:r>
        <w:t xml:space="preserve">] report [</w:t>
      </w:r>
      <w:r>
        <w:rPr>
          <w:strike/>
        </w:rPr>
        <w:t xml:space="preserve">at the time the commission approves the organization's budget</w:t>
      </w:r>
      <w:r>
        <w:t xml:space="preserve">] detailing the organization's performance and submit the report to the lieutenant governor, the speaker of the house of representatives, and each house and senate standing committee that has jurisdiction over electric utility issues.</w:t>
      </w:r>
    </w:p>
    <w:p w:rsidR="003F3435" w:rsidRDefault="0032493E">
      <w:pPr>
        <w:spacing w:line="480" w:lineRule="auto"/>
        <w:ind w:firstLine="720"/>
        <w:jc w:val="both"/>
      </w:pPr>
      <w:r>
        <w:t xml:space="preserve">(e)</w:t>
      </w:r>
      <w:r xml:space="preserve">
        <w:t> </w:t>
      </w:r>
      <w:r xml:space="preserve">
        <w:t> </w:t>
      </w:r>
      <w:r>
        <w:t xml:space="preserve">After approving the budget of an independent organization under Subsection (d-1), the commission shall authorize the organization to charge to wholesale buyers and sellers a system administration fee, within a range determined by the commission, that is reasonable and competitively neutral to fund the independent organization's approved budget.  The commission shall investigate the organization's cost efficiencies, salaries and benefits, and use of debt financing and may require the organization to provide any information needed to effectively evaluate the reasonableness and neutrality of the fee or to evaluate the effectiveness or efficiency of the organization.  The commission shall work with the organization to establish the detail of information, both current and historical, and the time frames the commission needs to effectively evaluate the fee.  The commission shall require the </w:t>
      </w:r>
      <w:r>
        <w:rPr>
          <w:u w:val="single"/>
        </w:rPr>
        <w:t xml:space="preserve">independent</w:t>
      </w:r>
      <w:r>
        <w:t xml:space="preserve"> organization to closely match actual revenues generated by the fee [</w:t>
      </w:r>
      <w:r>
        <w:rPr>
          <w:strike/>
        </w:rPr>
        <w:t xml:space="preserve">and other sources of revenue</w:t>
      </w:r>
      <w:r>
        <w:t xml:space="preserve">] with revenue necessary to fund the budget </w:t>
      </w:r>
      <w:r>
        <w:rPr>
          <w:u w:val="single"/>
        </w:rPr>
        <w:t xml:space="preserve">and make quarterly fee adjustments</w:t>
      </w:r>
      <w:r>
        <w:t xml:space="preserve">[</w:t>
      </w:r>
      <w:r>
        <w:rPr>
          <w:strike/>
        </w:rPr>
        <w:t xml:space="preserve">, taking into account the effect of a fee change on market participants and consumers,</w:t>
      </w:r>
      <w:r>
        <w:t xml:space="preserve">] to ensure that the budget year does not end with surplus or insufficient funds.  The commission shall require the organization to submit to the commission </w:t>
      </w:r>
      <w:r>
        <w:rPr>
          <w:u w:val="single"/>
        </w:rPr>
        <w:t xml:space="preserve">quarterly</w:t>
      </w:r>
      <w:r>
        <w:t xml:space="preserve">[</w:t>
      </w:r>
      <w:r>
        <w:rPr>
          <w:strike/>
        </w:rPr>
        <w:t xml:space="preserve">, on a schedule determined by the commission,</w:t>
      </w:r>
      <w:r>
        <w:t xml:space="preserve">] reports that compare actual expenditures with budgeted expenditures.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of the organization's governing body initiate the creation or revision of protocols;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organization's staff develop the new or revised protocols and submit the protocols to the governing body for adoption.</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The governing body of an independent organization certified by the commission under this section shall, in accordance with formal bylaws or protocols adopted by the organization and approved by the commission, establish and maintain an advisory committee whose membership is broadly representative of the organization's members to assist the organization's governing body and staff in developing or revising protocols or in performing the organization's other duties and functions. </w:t>
      </w:r>
      <w:r>
        <w:rPr>
          <w:u w:val="single"/>
        </w:rPr>
        <w:t xml:space="preserve"> </w:t>
      </w:r>
      <w:r>
        <w:rPr>
          <w:u w:val="single"/>
        </w:rPr>
        <w:t xml:space="preserve">This subsection does not prohibit the governing body of the organization from appointing one or more additional committees or subcommittees to assist the organization's governing body and staff in performing the organization's duties and functions.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39.904(d),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"renewable energy technology" means any technology that exclusively relies on an energy source that is naturally regenerated over a short time and derived directly from the sun, indirectly from the sun, or from moving water or other natural movements and mechanisms of the environment.  Renewable energy technologies include those that rely on energy derived directly from the sun, on wind, geothermal, hydroelectric, wave, or tidal energy, [</w:t>
      </w:r>
      <w:r>
        <w:rPr>
          <w:strike/>
        </w:rPr>
        <w:t xml:space="preserve">or</w:t>
      </w:r>
      <w:r>
        <w:t xml:space="preserve">] on biomass or biomass-based waste products, </w:t>
      </w:r>
      <w:r>
        <w:rPr>
          <w:u w:val="single"/>
        </w:rPr>
        <w:t xml:space="preserve">or on gasified waste,</w:t>
      </w:r>
      <w:r>
        <w:t xml:space="preserve"> including landfill gas.  A renewable energy technology does not rely </w:t>
      </w:r>
      <w:r>
        <w:rPr>
          <w:u w:val="single"/>
        </w:rPr>
        <w:t xml:space="preserve">solely</w:t>
      </w:r>
      <w:r>
        <w:t xml:space="preserve"> on energy resources derived from fossil fuels, waste products from fossil fuels, or waste products from inorganic sources.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39.916, Utilities Code, is amended to read as follows:</w:t>
      </w:r>
    </w:p>
    <w:p w:rsidR="003F3435" w:rsidRDefault="0032493E">
      <w:pPr>
        <w:spacing w:line="480" w:lineRule="auto"/>
        <w:ind w:firstLine="720"/>
        <w:jc w:val="both"/>
      </w:pPr>
      <w:r>
        <w:t xml:space="preserve">Sec.</w:t>
      </w:r>
      <w:r xml:space="preserve">
        <w:t> </w:t>
      </w:r>
      <w:r>
        <w:t xml:space="preserve">39.916.</w:t>
      </w:r>
      <w:r xml:space="preserve">
        <w:t> </w:t>
      </w:r>
      <w:r xml:space="preserve">
        <w:t> </w:t>
      </w:r>
      <w:r>
        <w:t xml:space="preserve">[</w:t>
      </w:r>
      <w:r>
        <w:rPr>
          <w:strike/>
        </w:rPr>
        <w:t xml:space="preserve">INTERCONNECTION OF</w:t>
      </w:r>
      <w:r>
        <w:t xml:space="preserve">] DISTRIBUTED RENEWABLE GENERATION.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39.916(a), Utilities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"Surplus electricity"</w:t>
      </w:r>
      <w:r>
        <w:rPr>
          <w:u w:val="single"/>
        </w:rPr>
        <w:t xml:space="preserve"> </w:t>
      </w:r>
      <w:r>
        <w:rPr>
          <w:u w:val="single"/>
        </w:rPr>
        <w:t xml:space="preserve">means electricity generated by distributed renewable generation that is not consumed at the place the distributed renewable generation is installed and that flows onto the electric distribution system.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39.916, Utilities Code, is amended by adding Subsections (i), (j-1), (j-2), (j-3), (j-4), (j-5), and (l) and amending Subsection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distributed renewable generation owner may sell surplus electricity to a retail electric provider or electric utility under this section only if the owner's distributed renewable generation is rated to produce an amount of electricity that is less than or equal to the amount of electricity that the retail electric customer for whom the distributed renewable generation is installed is reasonably expected to consume annually.</w:t>
      </w:r>
    </w:p>
    <w:p w:rsidR="003F3435" w:rsidRDefault="0032493E">
      <w:pPr>
        <w:spacing w:line="480" w:lineRule="auto"/>
        <w:ind w:firstLine="720"/>
        <w:jc w:val="both"/>
      </w:pPr>
      <w:r>
        <w:t xml:space="preserve">(j)</w:t>
      </w:r>
      <w:r xml:space="preserve">
        <w:t> </w:t>
      </w:r>
      <w:r xml:space="preserve">
        <w:t> </w:t>
      </w:r>
      <w:r>
        <w:rPr>
          <w:u w:val="single"/>
        </w:rPr>
        <w:t xml:space="preserve">A</w:t>
      </w:r>
      <w:r>
        <w:t xml:space="preserve"> </w:t>
      </w:r>
      <w:r>
        <w:t xml:space="preserve">[</w:t>
      </w:r>
      <w:r>
        <w:rPr>
          <w:strike/>
        </w:rPr>
        <w:t xml:space="preserve">For</w:t>
      </w:r>
      <w:r>
        <w:t xml:space="preserve">] distributed renewable generation </w:t>
      </w:r>
      <w:r>
        <w:rPr>
          <w:u w:val="single"/>
        </w:rPr>
        <w:t xml:space="preserve">owner that sells surplus electricity</w:t>
      </w:r>
      <w:r>
        <w:t xml:space="preserve"> [</w:t>
      </w:r>
      <w:r>
        <w:rPr>
          <w:strike/>
        </w:rPr>
        <w:t xml:space="preserve">owners</w:t>
      </w:r>
      <w:r>
        <w:t xml:space="preserve">] in </w:t>
      </w:r>
      <w:r>
        <w:rPr>
          <w:u w:val="single"/>
        </w:rPr>
        <w:t xml:space="preserve">an area</w:t>
      </w:r>
      <w:r>
        <w:t xml:space="preserve"> [</w:t>
      </w:r>
      <w:r>
        <w:rPr>
          <w:strike/>
        </w:rPr>
        <w:t xml:space="preserve">areas</w:t>
      </w:r>
      <w:r>
        <w:t xml:space="preserve">] in which customer choice has been introduced [</w:t>
      </w:r>
      <w:r>
        <w:rPr>
          <w:strike/>
        </w:rPr>
        <w:t xml:space="preserve">, the distributed renewable generation owner</w:t>
      </w:r>
      <w:r>
        <w:t xml:space="preserve">] must sell the [</w:t>
      </w:r>
      <w:r>
        <w:rPr>
          <w:strike/>
        </w:rPr>
        <w:t xml:space="preserve">owner's surplus</w:t>
      </w:r>
      <w:r>
        <w:t xml:space="preserve">] electricity [</w:t>
      </w:r>
      <w:r>
        <w:rPr>
          <w:strike/>
        </w:rPr>
        <w:t xml:space="preserve">produced</w:t>
      </w:r>
      <w:r>
        <w:t xml:space="preserve">] to the retail electric provider that serves the [</w:t>
      </w:r>
      <w:r>
        <w:rPr>
          <w:strike/>
        </w:rPr>
        <w:t xml:space="preserve">distributed renewable generation owner's</w:t>
      </w:r>
      <w:r>
        <w:t xml:space="preserve">] load </w:t>
      </w:r>
      <w:r>
        <w:rPr>
          <w:u w:val="single"/>
        </w:rPr>
        <w:t xml:space="preserve">of the retail electric customer for whom the distributed renewable generation is installed</w:t>
      </w:r>
      <w:r>
        <w:t xml:space="preserve"> at a value agreed to </w:t>
      </w:r>
      <w:r>
        <w:rPr>
          <w:u w:val="single"/>
        </w:rPr>
        <w:t xml:space="preserve">by</w:t>
      </w:r>
      <w:r>
        <w:t xml:space="preserve"> [</w:t>
      </w:r>
      <w:r>
        <w:rPr>
          <w:strike/>
        </w:rPr>
        <w:t xml:space="preserve">between</w:t>
      </w:r>
      <w:r>
        <w:t xml:space="preserve">] the distributed renewable generation owner and the provider</w:t>
      </w:r>
      <w:r>
        <w:rPr>
          <w:u w:val="single"/>
        </w:rPr>
        <w:t xml:space="preserve">. The value</w:t>
      </w:r>
      <w:r>
        <w:t xml:space="preserve"> [</w:t>
      </w:r>
      <w:r>
        <w:rPr>
          <w:strike/>
        </w:rPr>
        <w:t xml:space="preserve">that serves the owner's load which</w:t>
      </w:r>
      <w:r>
        <w:t xml:space="preserve">] may include, but is not limited to, an agreed value based on the clearing price of energy at the time of day that the electricity is made available to the grid or </w:t>
      </w:r>
      <w:r>
        <w:rPr>
          <w:u w:val="single"/>
        </w:rPr>
        <w:t xml:space="preserve">the value</w:t>
      </w:r>
      <w:r>
        <w:t xml:space="preserve"> </w:t>
      </w:r>
      <w:r>
        <w:t xml:space="preserve">[</w:t>
      </w:r>
      <w:r>
        <w:rPr>
          <w:strike/>
        </w:rPr>
        <w:t xml:space="preserve">it</w:t>
      </w:r>
      <w:r>
        <w:t xml:space="preserve">] may be a </w:t>
      </w:r>
      <w:r>
        <w:rPr>
          <w:u w:val="single"/>
        </w:rPr>
        <w:t xml:space="preserve">monetary</w:t>
      </w:r>
      <w:r>
        <w:t xml:space="preserve"> </w:t>
      </w:r>
      <w:r>
        <w:t xml:space="preserve">credit applied to an account during a billing period that may be carried over to subsequent billing periods until the credit has been redeemed.</w:t>
      </w:r>
    </w:p>
    <w:p w:rsidR="003F3435" w:rsidRDefault="0032493E">
      <w:pPr>
        <w:spacing w:line="480" w:lineRule="auto"/>
        <w:ind w:firstLine="720"/>
        <w:jc w:val="both"/>
      </w:pPr>
      <w:r>
        <w:rPr>
          <w:u w:val="single"/>
        </w:rPr>
        <w:t xml:space="preserve">(j-1)</w:t>
      </w:r>
      <w:r xml:space="preserve">
        <w:t> </w:t>
      </w:r>
      <w:r xml:space="preserve">
        <w:t> </w:t>
      </w:r>
      <w:r>
        <w:t xml:space="preserve">The independent organization identified in Section 39.151 shall develop procedures so that the amount of electricity purchased from a distributed renewable generation owner under this section </w:t>
      </w:r>
      <w:r>
        <w:rPr>
          <w:u w:val="single"/>
        </w:rPr>
        <w:t xml:space="preserve">in an area in which customer choice has been introduced</w:t>
      </w:r>
      <w:r>
        <w:t xml:space="preserve"> is accounted for in settling the total load served by the provider that serves </w:t>
      </w:r>
      <w:r>
        <w:rPr>
          <w:u w:val="single"/>
        </w:rPr>
        <w:t xml:space="preserve">the</w:t>
      </w:r>
      <w:r>
        <w:t xml:space="preserve"> [</w:t>
      </w:r>
      <w:r>
        <w:rPr>
          <w:strike/>
        </w:rPr>
        <w:t xml:space="preserve">that owner's</w:t>
      </w:r>
      <w:r>
        <w:t xml:space="preserve">] load </w:t>
      </w:r>
      <w:r>
        <w:rPr>
          <w:u w:val="single"/>
        </w:rPr>
        <w:t xml:space="preserve">of the retail electric customer for whom the distributed renewable generation is installed</w:t>
      </w:r>
      <w:r>
        <w:t xml:space="preserve"> [</w:t>
      </w:r>
      <w:r>
        <w:rPr>
          <w:strike/>
        </w:rPr>
        <w:t xml:space="preserve">by January 1, 2009</w:t>
      </w:r>
      <w:r>
        <w:t xml:space="preserve">]. </w:t>
      </w:r>
      <w:r>
        <w:t xml:space="preserve"> </w:t>
      </w:r>
      <w:r>
        <w:t xml:space="preserve">A distributed renewable generation owner requesting net metering services for purposes of this section must have metering devices capable of providing measurements consistent with the independent organization's settlement requirements.</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distributed renewable generation owner that sells surplus electricity in an area in which customer choice has not been introduced must sell the electricity to the electric utility that serves the load of the retail electric customer for whom the distributed renewable generation is installed. </w:t>
      </w:r>
      <w:r>
        <w:rPr>
          <w:u w:val="single"/>
        </w:rPr>
        <w:t xml:space="preserve"> </w:t>
      </w:r>
      <w:r>
        <w:rPr>
          <w:u w:val="single"/>
        </w:rPr>
        <w:t xml:space="preserve">The electric utility shall purchase the surplus electricity at a value that is equal to the avoided cost of the electric utility, as determined in accordance with commission rules.</w:t>
      </w:r>
    </w:p>
    <w:p w:rsidR="003F3435" w:rsidRDefault="0032493E">
      <w:pPr>
        <w:spacing w:line="480" w:lineRule="auto"/>
        <w:ind w:firstLine="720"/>
        <w:jc w:val="both"/>
      </w:pPr>
      <w:r>
        <w:rPr>
          <w:u w:val="single"/>
        </w:rPr>
        <w:t xml:space="preserve">(j-3)</w:t>
      </w:r>
      <w:r>
        <w:rPr>
          <w:u w:val="single"/>
        </w:rPr>
        <w:t xml:space="preserve"> </w:t>
      </w:r>
      <w:r>
        <w:rPr>
          <w:u w:val="single"/>
        </w:rPr>
        <w:t xml:space="preserve"> </w:t>
      </w:r>
      <w:r>
        <w:rPr>
          <w:u w:val="single"/>
        </w:rPr>
        <w:t xml:space="preserve">An electric utility that purchases surplus electricity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payment to the seller at least once each quarter;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a monetary credit to the seller's account and allow the credit balance to be carried forward onto the seller's next monthly bill for not more than 12 months.</w:t>
      </w:r>
    </w:p>
    <w:p w:rsidR="003F3435" w:rsidRDefault="0032493E">
      <w:pPr>
        <w:spacing w:line="480" w:lineRule="auto"/>
        <w:ind w:firstLine="720"/>
        <w:jc w:val="both"/>
      </w:pPr>
      <w:r>
        <w:rPr>
          <w:u w:val="single"/>
        </w:rPr>
        <w:t xml:space="preserve">(j-4)</w:t>
      </w:r>
      <w:r>
        <w:rPr>
          <w:u w:val="single"/>
        </w:rPr>
        <w:t xml:space="preserve"> </w:t>
      </w:r>
      <w:r>
        <w:rPr>
          <w:u w:val="single"/>
        </w:rPr>
        <w:t xml:space="preserve"> </w:t>
      </w:r>
      <w:r>
        <w:rPr>
          <w:u w:val="single"/>
        </w:rPr>
        <w:t xml:space="preserve">An electric utility that purchases surplus electricity under this section shall inform the distributed renewable generation owner of the amount of surplus electricity purchased from the owner in kilowatt hours during the owner's most recent billing cycle and the price paid for the electricity.</w:t>
      </w:r>
    </w:p>
    <w:p w:rsidR="003F3435" w:rsidRDefault="0032493E">
      <w:pPr>
        <w:spacing w:line="480" w:lineRule="auto"/>
        <w:ind w:firstLine="720"/>
        <w:jc w:val="both"/>
      </w:pPr>
      <w:r>
        <w:rPr>
          <w:u w:val="single"/>
        </w:rPr>
        <w:t xml:space="preserve">(j-5)</w:t>
      </w:r>
      <w:r>
        <w:rPr>
          <w:u w:val="single"/>
        </w:rPr>
        <w:t xml:space="preserve"> </w:t>
      </w:r>
      <w:r>
        <w:rPr>
          <w:u w:val="single"/>
        </w:rPr>
        <w:t xml:space="preserve"> </w:t>
      </w:r>
      <w:r>
        <w:rPr>
          <w:u w:val="single"/>
        </w:rPr>
        <w:t xml:space="preserve">A distributed renewable generation owner may file a written complaint with the commission relating to a violation of Subsection (j-2), (j-3), or (j-4).</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does not apply to a municipally owned utility or electric cooperative.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Z, Chapter 39, Utilities Code, is amended by adding Section 39.9161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39.9161.</w:t>
      </w:r>
      <w:r>
        <w:rPr>
          <w:u w:val="single"/>
        </w:rPr>
        <w:t xml:space="preserve"> </w:t>
      </w:r>
      <w:r>
        <w:rPr>
          <w:u w:val="single"/>
        </w:rPr>
        <w:t xml:space="preserve"> </w:t>
      </w:r>
      <w:r>
        <w:rPr>
          <w:u w:val="single"/>
        </w:rPr>
        <w:t xml:space="preserve">DISTRIBUTED RENEWABLE GENERATION WITH MUNICIPALLY OWNED UTILITIES OR ELECTRIC COOPERATIVES.  (a) </w:t>
      </w:r>
      <w:r>
        <w:rPr>
          <w:u w:val="single"/>
        </w:rPr>
        <w:t xml:space="preserve"> </w:t>
      </w:r>
      <w:r>
        <w:rPr>
          <w:u w:val="single"/>
        </w:rPr>
        <w:t xml:space="preserve">A municipally owned utility or electric cooperative shall provide the utility's or cooperative's customers access to interconnection of distributed renewable generation and payment for surplus electricity produced.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municipally owned utility or board of directors of an electric cooperative shall provide oversight and adopt rates, rules, and procedures to allow interconnection and payment for surplus electricity on or before the 120th day after the date the governing body or board receives a bona fide request for interconnection.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municipally owned utility or electric cooperative that had retail sales of 500,000 megawatt hours or more in 2010 shall file the utility's or cooperative's interconnection and surplus electricity rates, rules, and procedures with the State Energy Conservation Office not later than January 1, 2022, and shall make timely updates to the filed rates, rules, and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shall allow interconnection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distributed renewable generation to be interconnected has a five-year warranty against breakdown or undue degradation;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rated capacity of the distributed renewable generation does not exceed the electric cooperative service capacity;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distributed renewable generation meets other technical requirements for interconnection that are consistent with commission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cooperative may not require a distributed renewable generation owner whose distributed renewable generation meets the standards established under Subsection (d) to purchase an amount, type, or classification of liability insurance the distributed renewable generation owner would not have in the absence of the distributed renewable generation.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INFORMATION ON INTERNET REGARDING PURCHASE OF SURPLUS ELECTRICITY PRODUCED BY DISTRIBUTED RENEWABLE GENERATION.  On an Internet website administered by the commission, the commission shall provide for access to easily comparable information regarding retail electric providers' offers to residential distributed renewable generation owners for their surplus electricity.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39.916(h), Utilities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to Section 15.023, Utilities Code, apply only to a violation that occurs on or after the effective date of this Act.  For purposes of this section, a violation occurs before the effective date of this Act if any element of the violation occurs before that date.  A violation that occurs before the effective date of this Act is covered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