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87R7862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investment and use of excess residential mortgage loan originator recovery fund fees;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156.501(b) and (c), Finance Code, are amended to read as follows:</w:t>
      </w:r>
    </w:p>
    <w:p w:rsidR="003F3435" w:rsidRDefault="0032493E">
      <w:pPr>
        <w:spacing w:line="480" w:lineRule="auto"/>
        <w:ind w:firstLine="720"/>
        <w:jc w:val="both"/>
      </w:pPr>
      <w:r>
        <w:t xml:space="preserve">(b)</w:t>
      </w:r>
      <w:r xml:space="preserve">
        <w:t> </w:t>
      </w:r>
      <w:r xml:space="preserve">
        <w:t> </w:t>
      </w:r>
      <w:r>
        <w:t xml:space="preserve">Subject to this subsection </w:t>
      </w:r>
      <w:r>
        <w:rPr>
          <w:u w:val="single"/>
        </w:rPr>
        <w:t xml:space="preserve">and Section 156.502(b)</w:t>
      </w:r>
      <w:r>
        <w:t xml:space="preserve">, the recovery fund shall be used to reimburse residential mortgage loan applicants for actual damages incurred because of acts committed by a residential mortgage loan originator who was licensed under Chapter 157 when the act was committed. </w:t>
      </w:r>
      <w:r>
        <w:t xml:space="preserve"> </w:t>
      </w:r>
      <w:r>
        <w:t xml:space="preserve">The use of the fund is limited to reimbursement for out-of-pocket losses caused by an act by a residential mortgage loan originator licensed under Chapter 157 that constitutes a violation of Section 157.024(a)(2), (3), (5), (7), (8), (9), (10), (13), (16), (17), or (18) or 156.304(b).</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in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w:t>
      </w:r>
      <w:r>
        <w:rPr>
          <w:u w:val="single"/>
        </w:rPr>
        <w:t xml:space="preserve">claims</w:t>
      </w:r>
      <w:r>
        <w:t xml:space="preserve"> [</w:t>
      </w:r>
      <w:r>
        <w:rPr>
          <w:strike/>
        </w:rPr>
        <w:t xml:space="preserve">judgment payments</w:t>
      </w:r>
      <w:r>
        <w:t xml:space="preserve">] awarded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156.502, Finance Code, is amended to read as follows:</w:t>
      </w:r>
    </w:p>
    <w:p w:rsidR="003F3435" w:rsidRDefault="0032493E">
      <w:pPr>
        <w:spacing w:line="480" w:lineRule="auto"/>
        <w:ind w:firstLine="720"/>
        <w:jc w:val="both"/>
      </w:pPr>
      <w:r>
        <w:t xml:space="preserve">Sec.</w:t>
      </w:r>
      <w:r xml:space="preserve">
        <w:t> </w:t>
      </w:r>
      <w:r>
        <w:t xml:space="preserve">156.502.</w:t>
      </w:r>
      <w:r xml:space="preserve">
        <w:t> </w:t>
      </w:r>
      <w:r xml:space="preserve">
        <w:t> </w:t>
      </w:r>
      <w:r>
        <w:t xml:space="preserve">FUNDING.  (a) </w:t>
      </w:r>
      <w:r>
        <w:t xml:space="preserve"> </w:t>
      </w:r>
      <w:r>
        <w:t xml:space="preserve">On an application for an original license [</w:t>
      </w:r>
      <w:r>
        <w:rPr>
          <w:strike/>
        </w:rPr>
        <w:t xml:space="preserve">or for renewal of a license</w:t>
      </w:r>
      <w:r>
        <w:t xml:space="preserve">] issued under Chapter 157, the applicant, in addition to paying the original application fee [</w:t>
      </w:r>
      <w:r>
        <w:rPr>
          <w:strike/>
        </w:rPr>
        <w:t xml:space="preserve">or renewal fee</w:t>
      </w:r>
      <w:r>
        <w:t xml:space="preserve">], shall pay a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 </w:t>
      </w:r>
      <w:r>
        <w:t xml:space="preserve"> </w:t>
      </w:r>
      <w:r>
        <w:t xml:space="preserve">The fee shall be deposited in the recovery fund.</w:t>
      </w:r>
    </w:p>
    <w:p w:rsidR="003F3435" w:rsidRDefault="0032493E">
      <w:pPr>
        <w:spacing w:line="480" w:lineRule="auto"/>
        <w:ind w:firstLine="720"/>
        <w:jc w:val="both"/>
      </w:pPr>
      <w:r>
        <w:t xml:space="preserve">(b)</w:t>
      </w:r>
      <w:r xml:space="preserve">
        <w:t> </w:t>
      </w:r>
      <w:r xml:space="preserve">
        <w:t> </w:t>
      </w:r>
      <w:r>
        <w:t xml:space="preserve">If the balance remaining in the recovery fund at the end of a calendar year is more than $3.5 million, the amount of money in excess of that amount shall be </w:t>
      </w:r>
      <w:r>
        <w:rPr>
          <w:u w:val="single"/>
        </w:rPr>
        <w:t xml:space="preserve">remitted by the commissioner to the comptroller for deposit in the Texas Financial Education Endowment account as provided by Section 393.628(c-1)</w:t>
      </w:r>
      <w:r>
        <w:t xml:space="preserve"> [</w:t>
      </w:r>
      <w:r>
        <w:rPr>
          <w:strike/>
        </w:rPr>
        <w:t xml:space="preserve">available to the commissioner to offset the expenses of participating in and sharing information with the Nationwide Mortgage Licensing System and Registry in accordance with Chapter 180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157.013(b), Finance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residential mortgage loan originator license must be accompanied by:</w:t>
      </w:r>
    </w:p>
    <w:p w:rsidR="003F3435" w:rsidRDefault="0032493E">
      <w:pPr>
        <w:spacing w:line="480" w:lineRule="auto"/>
        <w:ind w:firstLine="1440"/>
        <w:jc w:val="both"/>
      </w:pPr>
      <w:r>
        <w:t xml:space="preserve">(1)</w:t>
      </w:r>
      <w:r xml:space="preserve">
        <w:t> </w:t>
      </w:r>
      <w:r xml:space="preserve">
        <w:t> </w:t>
      </w:r>
      <w:r>
        <w:t xml:space="preserve">an application fee in an amount determined by the commissioner, not to exceed $500; and</w:t>
      </w:r>
    </w:p>
    <w:p w:rsidR="003F3435" w:rsidRDefault="0032493E">
      <w:pPr>
        <w:spacing w:line="480" w:lineRule="auto"/>
        <w:ind w:firstLine="1440"/>
        <w:jc w:val="both"/>
      </w:pPr>
      <w:r>
        <w:t xml:space="preserve">(2)</w:t>
      </w:r>
      <w:r xml:space="preserve">
        <w:t> </w:t>
      </w:r>
      <w:r xml:space="preserve">
        <w:t> </w:t>
      </w:r>
      <w:r>
        <w:rPr>
          <w:u w:val="single"/>
        </w:rPr>
        <w:t xml:space="preserve">for an original license,</w:t>
      </w:r>
      <w:r>
        <w:t xml:space="preserve"> </w:t>
      </w:r>
      <w:r>
        <w:t xml:space="preserve">a recovery fund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393.628, Finance Code, is amended by amending Subsections (c) and (f)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w:t xml:space="preserve"> [</w:t>
      </w:r>
      <w:r>
        <w:rPr>
          <w:strike/>
        </w:rPr>
        <w:t xml:space="preserve">The</w:t>
      </w:r>
      <w:r>
        <w:t xml:space="preserve">] Texas Financial Education Endowment shall be administered by the finance commission to support statewide financial education and consumer credit building activities and programs, including:</w:t>
      </w:r>
    </w:p>
    <w:p w:rsidR="003F3435" w:rsidRDefault="0032493E">
      <w:pPr>
        <w:spacing w:line="480" w:lineRule="auto"/>
        <w:ind w:firstLine="1440"/>
        <w:jc w:val="both"/>
      </w:pPr>
      <w:r>
        <w:t xml:space="preserve">(1)</w:t>
      </w:r>
      <w:r xml:space="preserve">
        <w:t> </w:t>
      </w:r>
      <w:r xml:space="preserve">
        <w:t> </w:t>
      </w:r>
      <w:r>
        <w:t xml:space="preserve">production and dissemination of approved financial education materials at licensed locations;</w:t>
      </w:r>
    </w:p>
    <w:p w:rsidR="003F3435" w:rsidRDefault="0032493E">
      <w:pPr>
        <w:spacing w:line="480" w:lineRule="auto"/>
        <w:ind w:firstLine="1440"/>
        <w:jc w:val="both"/>
      </w:pPr>
      <w:r>
        <w:t xml:space="preserve">(2)</w:t>
      </w:r>
      <w:r xml:space="preserve">
        <w:t> </w:t>
      </w:r>
      <w:r xml:space="preserve">
        <w:t> </w:t>
      </w:r>
      <w:r>
        <w:t xml:space="preserve">advertising, marketing, and public awareness campaigns to improve the credit profiles and credit scores of consumers in this state;</w:t>
      </w:r>
    </w:p>
    <w:p w:rsidR="003F3435" w:rsidRDefault="0032493E">
      <w:pPr>
        <w:spacing w:line="480" w:lineRule="auto"/>
        <w:ind w:firstLine="1440"/>
        <w:jc w:val="both"/>
      </w:pPr>
      <w:r>
        <w:t xml:space="preserve">(3)</w:t>
      </w:r>
      <w:r xml:space="preserve">
        <w:t> </w:t>
      </w:r>
      <w:r xml:space="preserve">
        <w:t> </w:t>
      </w:r>
      <w:r>
        <w:t xml:space="preserve">school and youth-based financial literacy and capability;</w:t>
      </w:r>
    </w:p>
    <w:p w:rsidR="003F3435" w:rsidRDefault="0032493E">
      <w:pPr>
        <w:spacing w:line="480" w:lineRule="auto"/>
        <w:ind w:firstLine="1440"/>
        <w:jc w:val="both"/>
      </w:pPr>
      <w:r>
        <w:t xml:space="preserve">(4)</w:t>
      </w:r>
      <w:r xml:space="preserve">
        <w:t> </w:t>
      </w:r>
      <w:r xml:space="preserve">
        <w:t> </w:t>
      </w:r>
      <w:r>
        <w:t xml:space="preserve">credit building and credit repair;</w:t>
      </w:r>
    </w:p>
    <w:p w:rsidR="003F3435" w:rsidRDefault="0032493E">
      <w:pPr>
        <w:spacing w:line="480" w:lineRule="auto"/>
        <w:ind w:firstLine="1440"/>
        <w:jc w:val="both"/>
      </w:pPr>
      <w:r>
        <w:t xml:space="preserve">(5)</w:t>
      </w:r>
      <w:r xml:space="preserve">
        <w:t> </w:t>
      </w:r>
      <w:r xml:space="preserve">
        <w:t> </w:t>
      </w:r>
      <w:r>
        <w:t xml:space="preserve">financial coaching and consumer counseling;</w:t>
      </w:r>
    </w:p>
    <w:p w:rsidR="003F3435" w:rsidRDefault="0032493E">
      <w:pPr>
        <w:spacing w:line="480" w:lineRule="auto"/>
        <w:ind w:firstLine="1440"/>
        <w:jc w:val="both"/>
      </w:pPr>
      <w:r>
        <w:t xml:space="preserve">(6)</w:t>
      </w:r>
      <w:r xml:space="preserve">
        <w:t> </w:t>
      </w:r>
      <w:r xml:space="preserve">
        <w:t> </w:t>
      </w:r>
      <w:r>
        <w:t xml:space="preserve">bank account enrollment and incentives for personal savings; and</w:t>
      </w:r>
    </w:p>
    <w:p w:rsidR="003F3435" w:rsidRDefault="0032493E">
      <w:pPr>
        <w:spacing w:line="480" w:lineRule="auto"/>
        <w:ind w:firstLine="1440"/>
        <w:jc w:val="both"/>
      </w:pPr>
      <w:r>
        <w:t xml:space="preserve">(7)</w:t>
      </w:r>
      <w:r xml:space="preserve">
        <w:t> </w:t>
      </w:r>
      <w:r xml:space="preserve">
        <w:t> </w:t>
      </w:r>
      <w:r>
        <w:t xml:space="preserve">other consumer financial education and asset-building initiatives as considered appropriate by the finance commission.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deposit money remitted by the savings and mortgage lending commissioner under Section 156.502(b) into a subaccount of the Texas Financial Education Endowment account. </w:t>
      </w:r>
      <w:r>
        <w:rPr>
          <w:u w:val="single"/>
        </w:rPr>
        <w:t xml:space="preserve"> </w:t>
      </w:r>
      <w:r>
        <w:rPr>
          <w:u w:val="single"/>
        </w:rPr>
        <w:t xml:space="preserve">Money in the subaccount must be segregated from the money remitted to the comptroller under Subsection (b) and may only be used for purposes authorized by this subsection.  The finance commission shall administer the money deposited to the subaccount and with that money: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a grant in an amount of not less than $100,000 each year to a statewide nonprofit organization that supports organizations described by Section 156.202(a-1)(1) and that are registered under Chapter 158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servicing third-party mortgage loans;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financial education to consumers that relates to mortgage loans;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administering disaster repair programs for consumers with mortgage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provide support for statewide financial education, activities, and programs specifically related to mortgage loans for consumers, including activities and programs described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governor's declaration of a state of disaster under Section 418.014, Government Code, is in effect, may provide direct mortgage assistance for residence homesteads, as defined by Section 11.13, Tax Code, as needed due to the disaster;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the limits under Section 156.505, may provide reimbursements to a residential mortgage loan applicant who submits an application under Section 156.504 and who the commissioner determines has a valid claim, unless the claim is against a residential mortgage loan originator who conducted activities requiring a license under this chapter without a license under Chapter 157.</w:t>
      </w:r>
    </w:p>
    <w:p w:rsidR="003F3435" w:rsidRDefault="0032493E">
      <w:pPr>
        <w:spacing w:line="480" w:lineRule="auto"/>
        <w:ind w:firstLine="720"/>
        <w:jc w:val="both"/>
      </w:pPr>
      <w:r>
        <w:t xml:space="preserve">(f)</w:t>
      </w:r>
      <w:r xml:space="preserve">
        <w:t> </w:t>
      </w:r>
      <w:r xml:space="preserve">
        <w:t> </w:t>
      </w:r>
      <w:r>
        <w:t xml:space="preserve">The finance commission shall adopt rules to administer this section</w:t>
      </w:r>
      <w:r>
        <w:rPr>
          <w:u w:val="single"/>
        </w:rPr>
        <w:t xml:space="preserve">, including rules governing implementation of Subsection (c-1)(1)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a grant awarded under that subdivision is used for a public purpose described by that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means of recovering money awarded that is not used in compliance with that subdivision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156.501(d) and (f), Finance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as amended by this Act, applies only to an investment made on or after the effective date of this Act. </w:t>
      </w:r>
      <w:r>
        <w:t xml:space="preserve"> </w:t>
      </w:r>
      <w:r>
        <w:t xml:space="preserve">An investment made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