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87R12161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12.051, Utilities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commissioners appointed by the governor</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chair of the legislative caucus whose political party has the most members in the house of representatives shall submit to the governor a list of names of at least five persons eligible for appointment as commissioner. The governor shall appoint three commissioners from the list.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chair of the legislative caucus whose political party has the second most members in the house of representatives shall submit to the governor a list of names of at least five persons eligible for appointment as commissioner. The governor shall appoint two commissioners from the list</w:t>
      </w:r>
      <w:r>
        <w:t xml:space="preserve"> [</w:t>
      </w:r>
      <w:r>
        <w:rPr>
          <w:strike/>
        </w:rPr>
        <w:t xml:space="preserve">with the advice and consent of the senate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governor shall promptly appoint five commissioners to the Public Utility Commission of Texas in accordance with Section 12.051, Utilities Code, as amended by this Act.  Notwithstanding Section 12.051(c), Utilities Code, in making the initial appointments under that section, the governor shall designate one commissioner to a term expiring September 1, 2023, two commissioners to a term expiring September 1, 2025, and two commissioners to a term expiring September 1, 2027.   A person who is serving as a commissioner of the Public Utility Commission of Texas immediately before the effective date of this Act may continue to serve until the person's successor is appointed and qualifies to 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