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87R4520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Schofield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certificates of public convenience and necessity issued to water utilities inside the boundaries or extraterritorial jurisdiction of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13.245, Water Code, is amended by amending Subsections (b), (c-3), (c-4), and (c-5) and adding Subsections (b-1) and (c-6)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Subsections (c), (c-1), and (c-2), the utility commission may not grant to a retail public utility a certificate of public convenience and necessity for a service area within the boundaries or extraterritorial jurisdiction of a municipality without the consent of the municipality.  The municipality may not unreasonably withhold the consent.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require, as</w:t>
      </w:r>
      <w:r>
        <w:t xml:space="preserve"> [</w:t>
      </w:r>
      <w:r>
        <w:rPr>
          <w:strike/>
        </w:rPr>
        <w:t xml:space="preserve">As</w:t>
      </w:r>
      <w:r>
        <w:t xml:space="preserve">] a condition of [</w:t>
      </w:r>
      <w:r>
        <w:rPr>
          <w:strike/>
        </w:rPr>
        <w:t xml:space="preserve">the</w:t>
      </w:r>
      <w:r>
        <w:t xml:space="preserve">] consent </w:t>
      </w:r>
      <w:r>
        <w:rPr>
          <w:u w:val="single"/>
        </w:rPr>
        <w:t xml:space="preserve">under Subsection (b) for a certificate for a service area within the boundaries of the</w:t>
      </w:r>
      <w:r>
        <w:t xml:space="preserve"> [</w:t>
      </w:r>
      <w:r>
        <w:rPr>
          <w:strike/>
        </w:rPr>
        <w:t xml:space="preserve">, a</w:t>
      </w:r>
      <w:r>
        <w:t xml:space="preserve">] municipality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may require</w:t>
      </w:r>
      <w:r>
        <w:t xml:space="preserve">] that all water and sewer facilities be designed and constructed in accordance with the municipality's standards for facilities.  </w:t>
      </w:r>
      <w:r>
        <w:rPr>
          <w:u w:val="single"/>
        </w:rPr>
        <w:t xml:space="preserve">A municipality may not require, as a condition of consent under Subsection (b) for a certificate for a service area within the extraterritorial jurisdiction of the municipality, that all water and sewer facilities be designed and constructed in accordance with the municipality's standards for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(c-3)</w:t>
      </w:r>
      <w:r xml:space="preserve">
        <w:t> </w:t>
      </w:r>
      <w:r xml:space="preserve">
        <w:t> </w:t>
      </w:r>
      <w:r>
        <w:t xml:space="preserve">The utility commission must include</w:t>
      </w:r>
      <w:r>
        <w:rPr>
          <w:u w:val="single"/>
        </w:rPr>
        <w:t xml:space="preserve">,</w:t>
      </w:r>
      <w:r>
        <w:t xml:space="preserve"> as a condition of a certificate of public convenience and necessity granted under Subsection (c-1) or (c-2) </w:t>
      </w:r>
      <w:r>
        <w:rPr>
          <w:u w:val="single"/>
        </w:rPr>
        <w:t xml:space="preserve">for a service area within the boundaries of a municipality,</w:t>
      </w:r>
      <w:r>
        <w:t xml:space="preserve"> that all water and sewer facilities be designed and constructed in accordance with the municipality's standards for water and sewer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(c-4)</w:t>
      </w:r>
      <w:r xml:space="preserve">
        <w:t> </w:t>
      </w:r>
      <w:r xml:space="preserve">
        <w:t> </w:t>
      </w:r>
      <w:r>
        <w:rPr>
          <w:u w:val="single"/>
        </w:rPr>
        <w:t xml:space="preserve">The utility commission must include, as a condition of a certificate of public convenience and necessity granted under this section for a service area within the extraterritorial jurisdiction of a municipality, that all water and sewer facilities be designed and constructed in accordance with the commission's standards for water and sewer facilities.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(c-5)</w:t>
      </w:r>
      <w:r xml:space="preserve">
        <w:t> </w:t>
      </w:r>
      <w:r xml:space="preserve">
        <w:t> </w:t>
      </w:r>
      <w:r>
        <w:t xml:space="preserve">Subsections (c-1), (c-2), and (c-3) do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 borders the United Mexican States and the Gulf of Mexico or a county adjacent to such a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with a population of more than 30,000 and less than 35,000 that borders the Red River;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county with a population of more than 100,000 and less than 200,000 that borders a county described by Subdivision 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(c-6)</w:t>
      </w:r>
      <w:r xml:space="preserve">
        <w:t> </w:t>
      </w:r>
      <w:r>
        <w:t xml:space="preserve">[</w:t>
      </w:r>
      <w:r>
        <w:rPr>
          <w:strike/>
        </w:rPr>
        <w:t xml:space="preserve">(c-5)</w:t>
      </w:r>
      <w:r>
        <w:t xml:space="preserve">]</w:t>
      </w:r>
      <w:r xml:space="preserve">
        <w:t> </w:t>
      </w:r>
      <w:r xml:space="preserve">
        <w:t> </w:t>
      </w:r>
      <w:r>
        <w:t xml:space="preserve">Subsections (c-1), (c-2), and (c-3) do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with a population of 130,000 or more that is adjacent to a county with a population of 1.5 million or more that is within 200 miles of an international border;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with a population of more than 40,000 and less than 50,000 that contains a portion of the San Antonio River.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