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87R10506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3479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housing discrimination on the basis of an individual's criminal history and to the enforcement of that prohibition.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2306.111,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department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policies to ensure that each housing development that receives financial assistance administered by the department, including financial assistance from the proceeds of bonds issued by the department, accepts as tenants individuals who are protected under Section 301.0045,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enforcement mechanisms with respect to those housing developments that refuse to accept as tenants individuals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2306.358(d),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Subsection (c)(3)(C) does not prohibit an organization from requiring a tenant applicant who receives public assistance to meet the organization's standard criteria for occupancy, including [</w:t>
      </w:r>
      <w:r>
        <w:rPr>
          <w:strike/>
        </w:rPr>
        <w:t xml:space="preserve">such</w:t>
      </w:r>
      <w:r>
        <w:t xml:space="preserve">] criteria </w:t>
      </w:r>
      <w:r>
        <w:rPr>
          <w:u w:val="single"/>
        </w:rPr>
        <w:t xml:space="preserve">relating to</w:t>
      </w:r>
      <w:r>
        <w:t xml:space="preserve"> [</w:t>
      </w:r>
      <w:r>
        <w:rPr>
          <w:strike/>
        </w:rPr>
        <w:t xml:space="preserve">as</w:t>
      </w:r>
      <w:r>
        <w:t xml:space="preserve">] satisfactory creditworthiness and [</w:t>
      </w:r>
      <w:r>
        <w:rPr>
          <w:strike/>
        </w:rPr>
        <w:t xml:space="preserve">lack of</w:t>
      </w:r>
      <w:r>
        <w:t xml:space="preserve">] criminal history</w:t>
      </w:r>
      <w:r>
        <w:rPr>
          <w:u w:val="single"/>
        </w:rPr>
        <w:t xml:space="preserve">, to the extent permitted under Section 2306.111(j)</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392.055,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housing authority shall adopt policies to ensure that each housing project operated by the authority, including projects owned or operated by a public facility corporation created by the authority under Chapter 303, accepts as tenants individuals who are protected under Section 301.0045, Property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92.352, Property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landlord who rejects an applicant must provide the applicant a written statement detailing the reasons the applicant was rejected.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landlord who rejects an applicant based on the applicant's criminal history must provide the applicant with an opportunity to present any mitigating information concerning the criminal history.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301, Property Code, is amended by adding Section 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301.0045.</w:t>
      </w:r>
      <w:r>
        <w:rPr>
          <w:u w:val="single"/>
        </w:rPr>
        <w:t xml:space="preserve"> </w:t>
      </w:r>
      <w:r>
        <w:rPr>
          <w:u w:val="single"/>
        </w:rPr>
        <w:t xml:space="preserve"> </w:t>
      </w:r>
      <w:r>
        <w:rPr>
          <w:u w:val="single"/>
        </w:rPr>
        <w:t xml:space="preserve">CRIMINAL HISTORY.  (a)  Except as provided by Subsection (b), a discriminatory act is committed because of a person's criminal history if that act is committed with respect to criminal history based solely on one or more final convictions that each occurred more than three years before the date of the applicable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 is not considered discriminatory for the purposes of this section if the act is committed with respect to a person's criminal history based on a final conviction of any of the following: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requiring registration as a sex offender under Chapter 62,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Section 20.04, Penal Code, regardless of whether the offense is a reportable conviction or adjudication for purposes of Chapter 62,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offense under Section 19.02, 19.03, 20A.02, 20A.03, 22.04, 22.041, 25.07, 25.072, or 42.072, Penal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offense involving family violence, as defined by Section 71.004,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or criminal history</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or criminal history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or criminal history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or criminal history</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or criminal history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or criminal history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or criminal history</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or criminal history</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or criminal history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criminal history;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or criminal history</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or criminal history,</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or criminal history,</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301.021(c), Property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The change in law made by this Act in adding Section 2306.111(j), Government Code, applies only to an application for financial assistance that is submitted to the Texas Department of Housing and Community Affairs on or after January 1, 2022.  An application for financial assistance that is submitted to the department before January 1, 2022, is governed by the law in effect when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December 1, 2021, the Texas Department of Housing and Community Affairs shall adopt the rules required by Section 2306.111(j), Government Code, as added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 in law made by this Act to the Property Code applies only to a complaint filed with the Texas Workforce Commission civil rights division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