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87R3085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Rose, 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"indigent defense compensation expenditures" for purposes of the adjustment of a county's no-new-revenue maintenance and operations rate to reflect increases in those expenditures.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26.0442(a),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"indigent defense compensation expenditures" for a tax year means the </w:t>
      </w:r>
      <w:r>
        <w:rPr>
          <w:u w:val="single"/>
        </w:rPr>
        <w:t xml:space="preserve">difference between: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amount paid by a county </w:t>
      </w:r>
      <w:r>
        <w:rPr>
          <w:u w:val="single"/>
        </w:rPr>
        <w:t xml:space="preserve">in the period beginning on July 1 of the tax year preceding the tax year for which the tax is adopted and ending on June 30 of the tax year for which the tax is adopted</w:t>
      </w:r>
      <w:r>
        <w:t xml:space="preserve">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provide appointed counsel for indigent individuals in criminal or civil proceedings in accordance with the schedule of fees adopted under Article 26.05, Code of Criminal Procedure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 the operations of a public defender's office under Article 26.044, Code of Criminal Procedure;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 in the period beginning on July 1 of the tax year preceding the tax year for which the tax is adopted and ending on June 30 of the tax year for which the tax is adopted, less</w:t>
      </w:r>
      <w:r>
        <w:t xml:space="preserve">] the amount of any state grants received by the county during that period for </w:t>
      </w:r>
      <w:r>
        <w:rPr>
          <w:u w:val="single"/>
        </w:rPr>
        <w:t xml:space="preserve">those purposes</w:t>
      </w:r>
      <w:r>
        <w:t xml:space="preserve"> [</w:t>
      </w:r>
      <w:r>
        <w:rPr>
          <w:strike/>
        </w:rPr>
        <w:t xml:space="preserve">the same purpose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calculation of the no-new-revenue maintenance and operations rate for a county only for a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