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87R10553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reported through the Public Education Information Management System and to parents regarding disciplinary measures used by a school district or open-enrollment charter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37, Education Code, is amended by adding Section 37.024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PEIMS REPORTING OF DISCIPLINARY MEASURES; REPORT. (a) Each school district or open-enrollment charter school shall include in the district's or school's Public Education Information Management System (PEIMS) report the total number, disaggregated by race and gender,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incidents of uses of corporal punishment as a method of student discipline, if the district or school permits the use of corporal punishment under Section 37.0011;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37.002(e), removals of a student from a classroom by a teacher under Section 37.002(a) or (b);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reports to local law enforcement under Section 37.015 or 37.0151;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suspensions under Section 37.005, disaggregated by the number of students who received: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only one out-of-school suspension during the year;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more than one out-of-school suspension during the year;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or more in-school suspensions;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changes in school placement, including placement in a juvenile justice alternative education program or a disciplinary alternative education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expulsions arising under a zero-tolerance policy adopted by the district or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arrests;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referrals to a truancy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aggregate the data required under Subsection (a) in an annual report and make the report available to each school district and open-enrollment charter school.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school district and open-enrollment charter school shall make the report under Subsection (b) available electronically on the district's or school's Internet website and provide a copy of the report to each parent of or person standing in parental relation to a student enrolled in the district or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