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3488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requirements for early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applicant </w:t>
      </w:r>
      <w:r>
        <w:rPr>
          <w:u w:val="single"/>
        </w:rPr>
        <w:t xml:space="preserve">must</w:t>
      </w:r>
      <w:r>
        <w:t xml:space="preserve"> [</w:t>
      </w:r>
      <w:r>
        <w:rPr>
          <w:strike/>
        </w:rPr>
        <w:t xml:space="preserve">is not required to</w:t>
      </w:r>
      <w:r>
        <w:t xml:space="preserve">] use an official application form </w:t>
      </w:r>
      <w:r>
        <w:rPr>
          <w:u w:val="single"/>
        </w:rPr>
        <w:t xml:space="preserve">described by Section 84.011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election identification certificate or unexpired driver's license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applicant's voter registration number;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the applicant's unexpired United States passport;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applicant's social security number;</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rPr>
          <w:u w:val="single"/>
        </w:rPr>
        <w:t xml:space="preserve">a space</w:t>
      </w:r>
      <w:r>
        <w:t xml:space="preserve"> [</w:t>
      </w:r>
      <w:r>
        <w:rPr>
          <w:strike/>
        </w:rPr>
        <w:t xml:space="preserve">spaces</w:t>
      </w:r>
      <w:r>
        <w:t xml:space="preserve">] for entering an applicant's [</w:t>
      </w:r>
      <w:r>
        <w:rPr>
          <w:strike/>
        </w:rPr>
        <w:t xml:space="preserve">voter registration number and</w:t>
      </w:r>
      <w:r>
        <w:t xml:space="preserve">]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application does not include the information required under Section 84.002(a)(1-a), the clerk shall reject the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86.002,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ballot envelope must include a space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election identification certificate or unexpired driver's license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 voter registration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the voter's unexpired United States passport;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voter's social security number.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voter has provided the information required under Section 86.002(g)</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to vote an early voting ballot by mail submitted on or after the effective date of this Act.  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