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Parker</w:t>
      </w:r>
      <w:r xml:space="preserve">
        <w:tab wTab="150" tlc="none" cTlc="0"/>
      </w:r>
      <w:r>
        <w:t xml:space="preserve">H.B.</w:t>
      </w:r>
      <w:r xml:space="preserve">
        <w:t> </w:t>
      </w:r>
      <w:r>
        <w:t xml:space="preserve">No.</w:t>
      </w:r>
      <w:r xml:space="preserve">
        <w:t> </w:t>
      </w:r>
      <w:r>
        <w:t xml:space="preserve">3489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development of guidelines for the use of digital devices in public schools.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38, Education Code, is modified by adding Section 38.0231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38.0231.</w:t>
      </w:r>
      <w:r>
        <w:rPr>
          <w:u w:val="single"/>
        </w:rPr>
        <w:t xml:space="preserve"> </w:t>
      </w:r>
      <w:r>
        <w:rPr>
          <w:u w:val="single"/>
        </w:rPr>
        <w:t xml:space="preserve"> </w:t>
      </w:r>
      <w:r>
        <w:rPr>
          <w:u w:val="single"/>
        </w:rPr>
        <w:t xml:space="preserve">GUIDELINES FOR USE OF DIGITAL DEVICES.  (a)  </w:t>
      </w:r>
      <w:r>
        <w:rPr>
          <w:u w:val="single"/>
        </w:rPr>
        <w:t xml:space="preserve">The agency, in consultation with the Health and Human Services Commission, shall develop and distribute for use by school districts and open-enrollment charter schools health and safety guidelines for best practices for the effective integration of digital devices in public schools. The guidelines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 based on evidence-based studies and practices;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consider the potential costs of implementation of the guidelines and affordable ways to reduce the hazards associated with the extended use of digital devices;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address: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digital device use for varying age ranges and developmental levels;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amount of time a student spends using digital devices in the classroom;</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appropriate frequency for breaks from the use of digital devices;</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physical positioning of digital devices in the classroom;</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requiring the use of digital devices to complete homework assignments;</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recommended total daily screen time usage for students; and</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recommended teacher training regarding digital device use in the classroom to ensure implementation of the best practices.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school board of each school district or the governing body of each open-enrollment charter school may decide whether to adopt the guidelines developed under Subsection (a) for use in the district or school.</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Each school district or open-enrollment charter school that adopts the guidelines developed under Subsection (a) may implement the guidelines in a manner that best meets the district's or charter school's individual needs.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a school district or open-enrollment charter school adopts the guidelines developed under Subsection (a), the district or charter school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post the guidelines publicly on the district's or charter school's Internet website;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a copy of the guidelines with registration materials and require the signature of the student's parent or legal guardian acknowledging receipt of the guidelines.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Texas Education Agency shall develop and distribute the guidelines for the use of digital devices required under Section 38.0231, Education Code, as added by this Act, for use beginning with the 2023-2024 school year.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3489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