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87R16993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3491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security of electronic voting system media.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129.051, Election Code, is amended by amending Subsection (b)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general custodian of election records shall develop a procedure for tracking the custody of each electronic information storage medium from its storage location, through election coding and the election process, to its final post-election disposition and return to storage.  The chain of custody must require two or more individuals to perform a check and verification check whenever a transfer of custody occurs</w:t>
      </w:r>
      <w:r>
        <w:rPr>
          <w:u w:val="single"/>
        </w:rPr>
        <w:t xml:space="preserve">, and must include the maintenance of a log signed by the individuals and containing the serial number or other unique identifier of the medium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create a standard form for maintaining the log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