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recycling of oil and gas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122.004, Natural Resources Code, is amended to read as follows:</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COMMISSION RULES FOR TREATMENT AND BENEFICIAL USE. </w:t>
      </w:r>
      <w:r>
        <w:rPr>
          <w:u w:val="single"/>
        </w:rPr>
        <w:t xml:space="preserve">(a)</w:t>
      </w:r>
      <w:r>
        <w:t xml:space="preserve"> The commission shall adopt rules to govern the treatment and beneficial use of oil and gas waste.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rules adopted under this section must not differ in treatment of commercial and noncommercial recycling of fluid oil and gas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this section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siting standards for commercial fluid recycling pits;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 technical, construction, and sampling standards consistent with noncommercial recycling standards for fluid oil and gas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and maximum bonding and financial security amounts for commercial fluid recyclers;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standards for sampling and analysis of fluid oil and gas waste.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approve or deny an application for a permit issued under rules adopted under this section not later than the 90th day after the date the complete application was received by the commission.  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requesting a variance from the standards adopted under this section must be evaluated and approved consistent with previous variances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