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87R6945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3518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report by the Texas Division of Emergency Management regarding building trade services following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418.059.</w:t>
      </w:r>
      <w:r>
        <w:rPr>
          <w:u w:val="single"/>
        </w:rPr>
        <w:t xml:space="preserve"> </w:t>
      </w:r>
      <w:r>
        <w:rPr>
          <w:u w:val="single"/>
        </w:rPr>
        <w:t xml:space="preserve"> </w:t>
      </w:r>
      <w:r>
        <w:rPr>
          <w:u w:val="single"/>
        </w:rPr>
        <w:t xml:space="preserve">REPORT ON  BUILDING TRADE SERVICES FOLLOWING DISASTERS.  (a) Not later than November 1 of each year, the division shall submit a report to members of the legislature on improving the oversight, accountability, and availability of building trade services following disasters.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and economic impact of tradespeople in communities affected by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for using a workforce that has been trained in a United States Department of Labor Industry-Recognized Apprenticeship Program or Registered Apprenticeship Program to increase the availability of tradespeople, including plumbers and electricians,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approaches to increase prosecutions of alleged fraud relating to building trade services offered following a disaster, including wage theft and worker misclassification;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to encourage performance bond requirements in contracts for building trade services to be performed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appropriate state entities, including the Texas A&amp;M AgriLife Extension Service and Texas Department of Licensing and Regulation, local governments, trade associations, United States Department of Labor Registered Apprenticeship Programs, and law enforcement groups in preparing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described by Subsection (a) must include the methodology of the contents of the report, including the type and nature of information provided by the entities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