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coercion for purposes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3521 was passed by the House on May 11, 2021,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3521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