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87R8446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voter registration through a voter registration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13.002, Election Code, is amended by amending Subsection (a) and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desiring to register to vote must submit an application to the registrar of the county in which the person resides.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</w:t>
      </w:r>
      <w:r>
        <w:t xml:space="preserve"> [</w:t>
      </w:r>
      <w:r>
        <w:rPr>
          <w:strike/>
        </w:rPr>
        <w:t xml:space="preserve">Subsection</w:t>
      </w:r>
      <w:r>
        <w:t xml:space="preserve">] (e) </w:t>
      </w:r>
      <w:r>
        <w:rPr>
          <w:u w:val="single"/>
        </w:rPr>
        <w:t xml:space="preserve">and (e-1)</w:t>
      </w:r>
      <w:r>
        <w:t xml:space="preserve">, an application must be submitted by personal delivery, by mail, or by telephonic facsimile machine in accordance with Sections 13.143(d) and (d-2).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registrar shall adopt procedures to allow a voter registration agency to deliver a completed voter registration application over the Internet.  The secretary of state shall review any procedures adopted under this section to ensure the procedures comply with the provisions of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20.032.</w:t>
      </w:r>
      <w:r xml:space="preserve">
        <w:t> </w:t>
      </w:r>
      <w:r xml:space="preserve">
        <w:t> </w:t>
      </w:r>
      <w:r>
        <w:t xml:space="preserve">REGISTRATION PROCEDURES.  (a) </w:t>
      </w:r>
      <w:r>
        <w:t xml:space="preserve"> </w:t>
      </w:r>
      <w:r>
        <w:t xml:space="preserve">An appropriate agency employee shall routinely inform each person who applies [</w:t>
      </w:r>
      <w:r>
        <w:rPr>
          <w:strike/>
        </w:rPr>
        <w:t xml:space="preserve">in person</w:t>
      </w:r>
      <w:r>
        <w:t xml:space="preserve">] for agency services of the opportunity to complete a voter registration application form and on request shall provide nonpartisan voter registration assistance to the applicant.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agency that provides services at a person's residence shall provide the opportunity to complete the form and the assistance under Subsection (a) at the residence.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receipt of a registration application, the appropriate agency employee shall review it for completeness [</w:t>
      </w:r>
      <w:r>
        <w:rPr>
          <w:strike/>
        </w:rPr>
        <w:t xml:space="preserve">in the applicant's presence</w:t>
      </w:r>
      <w:r>
        <w:t xml:space="preserve">]. If the application does not contain all the required information and the required signature, the agency employee shall return the application to the applicant for completion and resubmission.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Information regarding the agency or office to which an application is submitted is confidential and may be used only for voter registration purposes.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law, an agency shall adopt procedures providing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applying for initial services, recertification, renewal, or change of address with the agency over the Internet to also complete a voter registration application online; 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delivery of a voter registration application to the voter registrar over the Internet.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a voter registration application completed under this chapter, an electronic signature satisfies the requirement that an application be signed under Section 13.002(b).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20.065(a),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the end of each day a Department of Public Safety office is regularly open for business, the manager of the office shall deliver [</w:t>
      </w:r>
      <w:r>
        <w:rPr>
          <w:strike/>
        </w:rPr>
        <w:t xml:space="preserve">by mail or in person</w:t>
      </w:r>
      <w:r>
        <w:t xml:space="preserve">] to the voter registrar of the county in which the office is located each completed voter registration application and applicable change of address submitted to a department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20.092(a),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public library shall provide to each person of voting age who applies [</w:t>
      </w:r>
      <w:r>
        <w:rPr>
          <w:strike/>
        </w:rPr>
        <w:t xml:space="preserve">in person</w:t>
      </w:r>
      <w:r>
        <w:t xml:space="preserve">] for an original or renewal of a library card an opportunity to complete a voter registration application 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voter registrar of a county must adopt procedures for the acceptance of voter registration applications under Section 13.002(e-1), Election Code, as added by this Act, not later than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voter registration agency must adopt procedures as required by Section 20.032(e), Election Code, as added by this Act, not later than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