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consent for the use or possession of personal identifying information under the Identity Theft Enforcement and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521.051, Business &amp; Commerce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person may not obtain, possess, transfer, or use personal identifying information of another person without the other person's consent </w:t>
      </w:r>
      <w:r>
        <w:rPr>
          <w:u w:val="single"/>
        </w:rPr>
        <w:t xml:space="preserve">or effective consent</w:t>
      </w:r>
      <w:r>
        <w:t xml:space="preserve"> and with intent to obtain a good, a service, insurance, an extension of credit, or any other thing of value in the other person's name.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"effective consent" includes consent given by a person legally authorized to act on behalf of the person from whom consent is required. </w:t>
      </w:r>
      <w:r>
        <w:rPr>
          <w:u w:val="single"/>
        </w:rPr>
        <w:t xml:space="preserve"> </w:t>
      </w:r>
      <w:r>
        <w:rPr>
          <w:u w:val="single"/>
        </w:rPr>
        <w:t xml:space="preserve">Consent is not effective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induced by force, threat, fraud, or coercion;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by a person who by reason of youth, mental illness, or intellectual disability is known by the actor to be unable to make reasonable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521.051, Business &amp; Commerce Code, as amended by this Act, applies only to a violation that occurs on or after the effective date of this Act. </w:t>
      </w:r>
      <w:r>
        <w:t xml:space="preserve"> </w:t>
      </w:r>
      <w:r>
        <w:t xml:space="preserve">A violation occurs before the effective date of this Act if any element of the violation occurs before that date.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3529 was passed by the House on April 27,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3529 was passed by the Senate on May 13,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