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3529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3,</w:t>
      </w:r>
      <w:r xml:space="preserve">
        <w:t> </w:t>
      </w:r>
      <w:r>
        <w:t xml:space="preserve">2021, read first time and referred to Committee on Business &amp; Commerce; May</w:t>
      </w:r>
      <w:r xml:space="preserve">
        <w:t> </w:t>
      </w:r>
      <w:r>
        <w:t xml:space="preserve">10,</w:t>
      </w:r>
      <w:r xml:space="preserve">
        <w:t> </w:t>
      </w:r>
      <w:r>
        <w:t xml:space="preserve">2021, reported favorably by the following vote:</w:t>
      </w:r>
      <w:r>
        <w:t xml:space="preserve"> </w:t>
      </w:r>
      <w:r>
        <w:t xml:space="preserve"> </w:t>
      </w:r>
      <w:r>
        <w:t xml:space="preserve">Yeas 7,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consent for the use or possession of personal identifying information under the Identity Theft Enforcement and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521.051, Business &amp; Commerce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person may not obtain, possess, transfer, or use personal identifying information of another person without the other person's consent </w:t>
      </w:r>
      <w:r>
        <w:rPr>
          <w:u w:val="single"/>
        </w:rPr>
        <w:t xml:space="preserve">or effective consent</w:t>
      </w:r>
      <w:r>
        <w:t xml:space="preserve"> and with intent to obtain a good, a service, insurance, an extension of credit, or any other thing of value in the other person's name.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"effective consent" includes consent given by a person legally authorized to act on behalf of the person from whom consent is required. </w:t>
      </w:r>
      <w:r>
        <w:rPr>
          <w:u w:val="single"/>
        </w:rPr>
        <w:t xml:space="preserve"> </w:t>
      </w:r>
      <w:r>
        <w:rPr>
          <w:u w:val="single"/>
        </w:rPr>
        <w:t xml:space="preserve">Consent is not effective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induced by force, threat, fraud, or coercion;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by a person who by reason of youth, mental illness, or intellectual disability is known by the actor to be unable to make reasonable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521.051, Business &amp; Commerce Code, as amended by this Act, applies only to a violation that occurs on or after the effective date of this Act. </w:t>
      </w:r>
      <w:r>
        <w:t xml:space="preserve"> </w:t>
      </w:r>
      <w:r>
        <w:t xml:space="preserve">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