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87R10560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3533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security requirement for the issuance or renewal of a motor vehicle dealer general distinguishing number or a wholesale motor vehicle auction general distinguishing number.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503.033, Transportation Code, is amended by amending Subsections (a), (d), and (g) and adding Subsections (h) and (i) to read as follows:</w:t>
      </w:r>
    </w:p>
    <w:p w:rsidR="003F3435" w:rsidRDefault="0032493E">
      <w:pPr>
        <w:spacing w:line="480" w:lineRule="auto"/>
        <w:ind w:firstLine="720"/>
        <w:jc w:val="both"/>
      </w:pPr>
      <w:r>
        <w:t xml:space="preserve">(a)</w:t>
      </w:r>
      <w:r xml:space="preserve">
        <w:t> </w:t>
      </w:r>
      <w:r xml:space="preserve">
        <w:t> </w:t>
      </w:r>
      <w:r>
        <w:t xml:space="preserve">The department may not issue or renew a motor vehicle dealer general distinguishing number or a wholesale motor vehicle auction general distinguishing number unless the applicant provides to the department[</w:t>
      </w:r>
      <w:r>
        <w:rPr>
          <w:strike/>
        </w:rPr>
        <w:t xml:space="preserve">:</w:t>
      </w:r>
    </w:p>
    <w:p w:rsidR="003F3435" w:rsidRDefault="0032493E">
      <w:pPr>
        <w:spacing w:line="480" w:lineRule="auto"/>
        <w:ind w:firstLine="1440"/>
        <w:jc w:val="both"/>
      </w:pPr>
      <w:r>
        <w:t xml:space="preserve">[</w:t>
      </w:r>
      <w:r>
        <w:rPr>
          <w:strike/>
        </w:rPr>
        <w:t xml:space="preserve">(1)</w:t>
      </w:r>
      <w:r>
        <w:t xml:space="preserve">]  satisfactory proof that the applicant has purchased a properly executed surety bond in the amount of </w:t>
      </w:r>
      <w:r>
        <w:rPr>
          <w:u w:val="single"/>
        </w:rPr>
        <w:t xml:space="preserve">$50,000</w:t>
      </w:r>
      <w:r>
        <w:t xml:space="preserve"> [</w:t>
      </w:r>
      <w:r>
        <w:rPr>
          <w:strike/>
        </w:rPr>
        <w:t xml:space="preserve">$25,000</w:t>
      </w:r>
      <w:r>
        <w:t xml:space="preserve">] with a good and sufficient surety approved by the department[</w:t>
      </w:r>
      <w:r>
        <w:rPr>
          <w:strike/>
        </w:rPr>
        <w:t xml:space="preserve">; or</w:t>
      </w:r>
    </w:p>
    <w:p w:rsidR="003F3435" w:rsidRDefault="0032493E">
      <w:pPr>
        <w:spacing w:line="480" w:lineRule="auto"/>
        <w:ind w:firstLine="1440"/>
        <w:jc w:val="both"/>
      </w:pPr>
      <w:r>
        <w:t xml:space="preserve">[</w:t>
      </w:r>
      <w:r>
        <w:rPr>
          <w:strike/>
        </w:rPr>
        <w:t xml:space="preserve">(2)  other security under Subsection (c)</w:t>
      </w:r>
      <w:r>
        <w:t xml:space="preserve">].</w:t>
      </w:r>
    </w:p>
    <w:p w:rsidR="003F3435" w:rsidRDefault="0032493E">
      <w:pPr>
        <w:spacing w:line="480" w:lineRule="auto"/>
        <w:ind w:firstLine="720"/>
        <w:jc w:val="both"/>
      </w:pPr>
      <w:r>
        <w:t xml:space="preserve">(d)</w:t>
      </w:r>
      <w:r xml:space="preserve">
        <w:t> </w:t>
      </w:r>
      <w:r xml:space="preserve">
        <w:t> </w:t>
      </w:r>
      <w:r>
        <w:t xml:space="preserve">A person may recover against a surety bond [</w:t>
      </w:r>
      <w:r>
        <w:rPr>
          <w:strike/>
        </w:rPr>
        <w:t xml:space="preserve">or other security</w:t>
      </w:r>
      <w:r>
        <w:t xml:space="preserve">] if the person obtains against a person issued a motor vehicle dealer general distinguishing number or a wholesale motor vehicle auction general distinguishing number a judgment assessing damages and reasonable attorney's fees based on an act or omission on which the bond is conditioned that occurred during the term for which the general distinguishing number was valid.</w:t>
      </w:r>
    </w:p>
    <w:p w:rsidR="003F3435" w:rsidRDefault="0032493E">
      <w:pPr>
        <w:spacing w:line="480" w:lineRule="auto"/>
        <w:ind w:firstLine="720"/>
        <w:jc w:val="both"/>
      </w:pPr>
      <w:r>
        <w:t xml:space="preserve">(g)</w:t>
      </w:r>
      <w:r xml:space="preserve">
        <w:t> </w:t>
      </w:r>
      <w:r xml:space="preserve">
        <w:t> </w:t>
      </w:r>
      <w:r>
        <w:rPr>
          <w:u w:val="single"/>
        </w:rPr>
        <w:t xml:space="preserve">A dealer shall post, adjacent to and in the same manner as the dealer's license is posted, notice of the surety bond and the procedure by which a claimant may recover against the surety bond.  The department by rule may prescribe the form of the notice required under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publish on the department's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 by which a claimant may recover against a surety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department's contact information.</w:t>
      </w:r>
    </w:p>
    <w:p w:rsidR="003F3435" w:rsidRDefault="0032493E">
      <w:pPr>
        <w:spacing w:line="480" w:lineRule="auto"/>
        <w:ind w:firstLine="720"/>
        <w:jc w:val="both"/>
      </w:pPr>
      <w:r>
        <w:rPr>
          <w:u w:val="single"/>
        </w:rPr>
        <w:t xml:space="preserve">(i)</w:t>
      </w:r>
      <w:r xml:space="preserve">
        <w:t> </w:t>
      </w:r>
      <w:r xml:space="preserve">
        <w:t> </w:t>
      </w:r>
      <w:r>
        <w:t xml:space="preserve">This section does not apply to a person licensed as a franchised motor vehicle dealer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503.033(a), Transportation Code, as amended by this Act, applies only to an application for the issuance or renewal of a motor vehicle dealer general distinguishing number or a wholesale motor vehicle auction general distinguishing number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