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onsite power generation.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91.203(a),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91.203.</w:t>
      </w:r>
      <w:r xml:space="preserve">
        <w:t> </w:t>
      </w:r>
      <w:r xml:space="preserve">
        <w:t> </w:t>
      </w:r>
      <w:r>
        <w:t xml:space="preserve">AUTHORITY; RULES.  (a)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supervise or monitor the construction, operation, maintenance, and closure of storage facilities; </w:t>
      </w:r>
      <w:r>
        <w:rPr>
          <w:u w:val="single"/>
        </w:rPr>
        <w:t xml:space="preserve">and,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storage facilities to maintain onsite generation necessary to pump gas from the facility for a minimum of 12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