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If a security deposit is required by a residential lease, the landlord may choose to offer the tenant an option to pay a fee in lieu of a security deposit;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tenant decides to pay a fee in lieu of a security deposit, an agreement to collect a fee in lieu of a security deposit must be in writing and signed by the landlord or their legal representative and the tenant;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in lieu of a security deposit may be a recurring monthly fee, or payable upon any schedule and in any amount that the landlord and tenant choose;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is not a security deposit as defined by Section 92.102.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w:t>
      </w:r>
      <w:r>
        <w:t xml:space="preserve"> </w:t>
      </w:r>
      <w:r>
        <w:t xml:space="preserve">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