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87R6951 MEW-F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Shaw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enrollment of certain retirees in the Texas Public School Employees Group Insurance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1575.161, Insurance Code, is amended by adding Subsections (b) and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(a), the trustee by rule shall provide one opportunity to reenroll in a health benefit plan offered under the group program for an otherwise eligible retiree: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is eligible to enroll in Medicare;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whose initial enrollment was voluntarily terminated on or after January 1, 2017, and on or before December 31, 2019;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opts to reenroll on or before December 31, 2023.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(b) and this subsection expire September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November 1, 2021, the Teacher Retirement System of Texas shall adopt rules necessary to implement Section 1575.161(b), Insurance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