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87R12148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training of volunteer deputy voter registrars.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13.047, Election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developed under this section must be administered in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13.048(c),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that has adopted the method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administer the required examination to a potential volunteer deputy registrar at any time during the county voter registrar's regular business hours;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[</w:t>
      </w:r>
      <w:r>
        <w:rPr>
          <w:strike/>
        </w:rPr>
        <w:t xml:space="preserve">not</w:t>
      </w:r>
      <w:r>
        <w:t xml:space="preserve">] required to hold in-person training sessions for potential volunteer deputy registrars.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