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reimbursement for certain emergency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1271.155, Insurance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health maintenance organization may not, based on a patient's final diagnosis, deny or reduce payment on a claim for the following services provided in a hospital emergency facility, freestanding emergency medical care facility, or comparable emergency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screening examination or related health care service that is within the capability of the facility and the facility's staff and performed to evaluate the patient's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further medical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necessary to stabilize the patient and to ensure, with reasonable medical probability, that no material deterioration of the condition is likely to result from or occur during the transfer of the patient from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with respect to emergency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1301.0053,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insurer may not, based on a patient's final diagnosis, deny or reduce payment on a claim for the following services provided in a hospital emergency facility, freestanding emergency medical care facility, or comparable emergency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screening examination or related health care service that is within the capability of the facility and the facility's staff and performed to evaluate the patient's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further medical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necessary to stabilize the patient and to ensure, with reasonable medical probability, that no material deterioration of the condition is likely to result from or occur during the transfer of the patient from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with respect to emergency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1301.155, Insurance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insurer may not, based on a patient's final diagnosis, deny or reduce payment on a claim for the following services provided in a hospital emergency facility, freestanding emergency medical care facility, or comparable emergency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screening examination or related health care service that is within the capability of the facility and the facility's staff and performed to evaluate the patient's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further medical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necessary to stabilize the patient and to assure, with reasonable medical probability, that no material deterioration of the condition is likely to result from or occur during the transfer of the patient from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with respect to emergency care.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