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87R10617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Cortez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ballot application requirements for the election of a precinct chair.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172.021, Election Code, is amended by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for a place on the ballot as a candidate for precinct chair must, in addition to complying with Section 141.031,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electronic mail address at which the candidate receives correspondence relating to the candidate's campaign;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telephone number at which the candidate can be reached;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electronic mail address and a telephone number described by Subdivisions (1) and (2).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