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Bonnen, Dean, Thompson of Brazoria</w:t>
      </w:r>
      <w:r>
        <w:t xml:space="preserve"> 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3571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Springer)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Business &amp; Commerce;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3571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regulation of security measures by certain property owners' associations.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SECURITY MEASURES.  (a)  This section does not apply to a master mixed-use property owners' association subject to Chapter 215.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a property owners' association may not adopt or enforce a restrictive covenant that prevents a property owner from building or installing security measures, including but not limited to a security camera, motion detector, or perimeter fence.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property owners' association from regulating the type of fencing that a property owner may install.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3571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