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3574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county primary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173.034(a),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chair shall manage the county primary fund. </w:t>
      </w:r>
      <w:r>
        <w:t xml:space="preserve"> </w:t>
      </w:r>
      <w:r>
        <w:rPr>
          <w:u w:val="single"/>
        </w:rPr>
        <w:t xml:space="preserve">The county chair shall maintain the county primary fund separately from other funds managed by the political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173, Election Code, is amended by adding Section 173.0342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173.0342.</w:t>
      </w:r>
      <w:r>
        <w:rPr>
          <w:u w:val="single"/>
        </w:rPr>
        <w:t xml:space="preserve"> </w:t>
      </w:r>
      <w:r>
        <w:rPr>
          <w:u w:val="single"/>
        </w:rPr>
        <w:t xml:space="preserve"> </w:t>
      </w:r>
      <w:r>
        <w:rPr>
          <w:u w:val="single"/>
        </w:rPr>
        <w:t xml:space="preserve">REQUIRED AFFIDAVIT FOR COUNTY CHAIR.  A county chair who manages a county primary fund shall execute and submit an affidavit to the secretary of state stating that the chair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money in the fund and use money in the fund only in accordance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fund separately from other funds managed by the political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comingle money in the fund with other money managed by the political party or its officers.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secretary of state shall conduct the initial audits required under Section 173.035(a), Election Code, as amended by this Act, not later than December 31, 2022.  The secretary shall designate approximately 10 percent of county primary funds as subject to the initial round of audits and designate 10 percent of the remaining funds as subject to each of the subsequent nine rounds of audits.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